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1D" w:rsidRPr="00414421" w:rsidRDefault="00037A1D" w:rsidP="00037A1D">
      <w:pPr>
        <w:rPr>
          <w:sz w:val="22"/>
          <w:szCs w:val="22"/>
        </w:rPr>
      </w:pPr>
      <w:r w:rsidRPr="00414421">
        <w:rPr>
          <w:noProof/>
          <w:sz w:val="22"/>
          <w:szCs w:val="22"/>
          <w:lang w:eastAsia="es-ES_tradnl"/>
        </w:rPr>
        <w:drawing>
          <wp:inline distT="0" distB="0" distL="0" distR="0" wp14:anchorId="05F602C5" wp14:editId="49D4EFE5">
            <wp:extent cx="2228850" cy="904875"/>
            <wp:effectExtent l="0" t="0" r="0" b="0"/>
            <wp:docPr id="1" name="Imagen 1" descr="FCH - Versión Horizontal G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FCH - Versión Horizontal Grises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60" cy="9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4421">
        <w:rPr>
          <w:sz w:val="22"/>
          <w:szCs w:val="22"/>
        </w:rPr>
        <w:t xml:space="preserve"> </w:t>
      </w:r>
    </w:p>
    <w:p w:rsidR="00037A1D" w:rsidRPr="00414421" w:rsidRDefault="00037A1D" w:rsidP="00037A1D">
      <w:pPr>
        <w:jc w:val="right"/>
        <w:rPr>
          <w:b/>
          <w:sz w:val="22"/>
          <w:szCs w:val="22"/>
        </w:rPr>
      </w:pPr>
      <w:r w:rsidRPr="00414421">
        <w:rPr>
          <w:sz w:val="22"/>
          <w:szCs w:val="22"/>
        </w:rPr>
        <w:t xml:space="preserve">Tandil, </w:t>
      </w:r>
      <w:r w:rsidRPr="00037A1D">
        <w:rPr>
          <w:sz w:val="22"/>
          <w:szCs w:val="22"/>
        </w:rPr>
        <w:t xml:space="preserve">19 de junio de </w:t>
      </w:r>
      <w:r w:rsidRPr="00414421">
        <w:rPr>
          <w:sz w:val="22"/>
          <w:szCs w:val="22"/>
        </w:rPr>
        <w:t>2019</w:t>
      </w:r>
    </w:p>
    <w:p w:rsidR="00037A1D" w:rsidRPr="00414421" w:rsidRDefault="00037A1D" w:rsidP="00037A1D">
      <w:pPr>
        <w:rPr>
          <w:b/>
          <w:sz w:val="22"/>
          <w:szCs w:val="22"/>
        </w:rPr>
      </w:pPr>
    </w:p>
    <w:p w:rsidR="00037A1D" w:rsidRPr="00414421" w:rsidRDefault="00037A1D" w:rsidP="00037A1D">
      <w:pPr>
        <w:jc w:val="center"/>
        <w:rPr>
          <w:b/>
          <w:sz w:val="22"/>
          <w:szCs w:val="22"/>
        </w:rPr>
      </w:pPr>
      <w:r w:rsidRPr="00414421">
        <w:rPr>
          <w:b/>
          <w:sz w:val="22"/>
          <w:szCs w:val="22"/>
        </w:rPr>
        <w:t xml:space="preserve">RESOLUCION DE CONSEJO ACADEMICO Nro. </w:t>
      </w:r>
      <w:r w:rsidRPr="00037A1D">
        <w:rPr>
          <w:b/>
          <w:sz w:val="22"/>
          <w:szCs w:val="22"/>
        </w:rPr>
        <w:t>21</w:t>
      </w:r>
      <w:r w:rsidRPr="00037A1D">
        <w:rPr>
          <w:b/>
          <w:sz w:val="22"/>
          <w:szCs w:val="22"/>
        </w:rPr>
        <w:t>2</w:t>
      </w:r>
      <w:r w:rsidRPr="00414421">
        <w:rPr>
          <w:b/>
          <w:sz w:val="22"/>
          <w:szCs w:val="22"/>
        </w:rPr>
        <w:t>/19</w:t>
      </w:r>
    </w:p>
    <w:p w:rsidR="00037A1D" w:rsidRPr="00414421" w:rsidRDefault="00037A1D" w:rsidP="00037A1D">
      <w:pPr>
        <w:rPr>
          <w:b/>
          <w:sz w:val="22"/>
          <w:szCs w:val="22"/>
        </w:rPr>
      </w:pPr>
    </w:p>
    <w:p w:rsidR="00037A1D" w:rsidRPr="00414421" w:rsidRDefault="00037A1D" w:rsidP="00037A1D">
      <w:pPr>
        <w:rPr>
          <w:sz w:val="22"/>
          <w:szCs w:val="22"/>
        </w:rPr>
      </w:pPr>
      <w:r w:rsidRPr="00414421">
        <w:rPr>
          <w:b/>
          <w:sz w:val="22"/>
          <w:szCs w:val="22"/>
        </w:rPr>
        <w:t>VISTO:</w:t>
      </w:r>
    </w:p>
    <w:p w:rsidR="00037A1D" w:rsidRPr="00414421" w:rsidRDefault="00037A1D" w:rsidP="00037A1D">
      <w:pPr>
        <w:jc w:val="both"/>
        <w:rPr>
          <w:sz w:val="22"/>
          <w:szCs w:val="22"/>
        </w:rPr>
      </w:pPr>
      <w:r w:rsidRPr="00414421">
        <w:rPr>
          <w:sz w:val="22"/>
          <w:szCs w:val="22"/>
        </w:rPr>
        <w:tab/>
      </w:r>
      <w:r w:rsidRPr="00414421">
        <w:rPr>
          <w:sz w:val="22"/>
          <w:szCs w:val="22"/>
        </w:rPr>
        <w:tab/>
      </w:r>
    </w:p>
    <w:p w:rsidR="00037A1D" w:rsidRPr="00414421" w:rsidRDefault="00037A1D" w:rsidP="00037A1D">
      <w:pPr>
        <w:ind w:firstLine="708"/>
        <w:jc w:val="both"/>
        <w:rPr>
          <w:sz w:val="22"/>
          <w:szCs w:val="22"/>
        </w:rPr>
      </w:pPr>
      <w:r w:rsidRPr="00414421">
        <w:rPr>
          <w:sz w:val="22"/>
          <w:szCs w:val="22"/>
        </w:rPr>
        <w:t xml:space="preserve">La nota presentada por el Secretaria Académica de esta Facultad, </w:t>
      </w:r>
      <w:proofErr w:type="spellStart"/>
      <w:r w:rsidRPr="00414421">
        <w:rPr>
          <w:sz w:val="22"/>
          <w:szCs w:val="22"/>
        </w:rPr>
        <w:t>Mag</w:t>
      </w:r>
      <w:proofErr w:type="spellEnd"/>
      <w:r w:rsidRPr="00414421">
        <w:rPr>
          <w:sz w:val="22"/>
          <w:szCs w:val="22"/>
        </w:rPr>
        <w:t>. GUILLERMINA FERNANDEZ, y</w:t>
      </w:r>
    </w:p>
    <w:p w:rsidR="00037A1D" w:rsidRPr="00414421" w:rsidRDefault="00037A1D" w:rsidP="00037A1D">
      <w:pPr>
        <w:jc w:val="both"/>
        <w:rPr>
          <w:b/>
          <w:sz w:val="22"/>
          <w:szCs w:val="22"/>
        </w:rPr>
      </w:pPr>
    </w:p>
    <w:p w:rsidR="00037A1D" w:rsidRPr="00414421" w:rsidRDefault="00037A1D" w:rsidP="00037A1D">
      <w:pPr>
        <w:jc w:val="both"/>
        <w:rPr>
          <w:sz w:val="22"/>
          <w:szCs w:val="22"/>
        </w:rPr>
      </w:pPr>
      <w:r w:rsidRPr="00414421">
        <w:rPr>
          <w:b/>
          <w:sz w:val="22"/>
          <w:szCs w:val="22"/>
        </w:rPr>
        <w:t>CONSIDERANDO:</w:t>
      </w:r>
    </w:p>
    <w:p w:rsidR="00037A1D" w:rsidRPr="00037A1D" w:rsidRDefault="00037A1D" w:rsidP="00037A1D">
      <w:pPr>
        <w:tabs>
          <w:tab w:val="left" w:pos="1571"/>
        </w:tabs>
        <w:rPr>
          <w:sz w:val="22"/>
          <w:szCs w:val="22"/>
        </w:rPr>
      </w:pPr>
    </w:p>
    <w:p w:rsidR="00037A1D" w:rsidRPr="00037A1D" w:rsidRDefault="00037A1D" w:rsidP="00037A1D">
      <w:pPr>
        <w:ind w:firstLine="708"/>
        <w:jc w:val="both"/>
        <w:rPr>
          <w:sz w:val="22"/>
          <w:szCs w:val="22"/>
        </w:rPr>
      </w:pPr>
      <w:r w:rsidRPr="00037A1D">
        <w:rPr>
          <w:sz w:val="22"/>
          <w:szCs w:val="22"/>
        </w:rPr>
        <w:t xml:space="preserve">. Que por la misma eleva la solicitud de autorización para modificar en el SIU GUARANÍ y en los Títulos la denominación de las asignaturas de la carrera de Educación Inicial para que coincidan con la denominación que consta en la </w:t>
      </w:r>
      <w:r w:rsidRPr="00037A1D">
        <w:rPr>
          <w:sz w:val="22"/>
          <w:szCs w:val="22"/>
        </w:rPr>
        <w:t>Resolución</w:t>
      </w:r>
      <w:r w:rsidRPr="00037A1D">
        <w:rPr>
          <w:sz w:val="22"/>
          <w:szCs w:val="22"/>
        </w:rPr>
        <w:t xml:space="preserve"> Nº </w:t>
      </w:r>
      <w:r w:rsidRPr="00037A1D">
        <w:rPr>
          <w:sz w:val="22"/>
          <w:szCs w:val="22"/>
        </w:rPr>
        <w:t>550</w:t>
      </w:r>
      <w:r w:rsidRPr="00037A1D">
        <w:rPr>
          <w:sz w:val="22"/>
          <w:szCs w:val="22"/>
        </w:rPr>
        <w:t xml:space="preserve"> del 200</w:t>
      </w:r>
      <w:r w:rsidRPr="00037A1D">
        <w:rPr>
          <w:sz w:val="22"/>
          <w:szCs w:val="22"/>
        </w:rPr>
        <w:t>6</w:t>
      </w:r>
      <w:r w:rsidRPr="00037A1D">
        <w:rPr>
          <w:sz w:val="22"/>
          <w:szCs w:val="22"/>
        </w:rPr>
        <w:t xml:space="preserve"> del Ministerio de Educación, Ciencia y Tecnología.</w:t>
      </w:r>
    </w:p>
    <w:p w:rsidR="00037A1D" w:rsidRPr="00037A1D" w:rsidRDefault="00037A1D" w:rsidP="00037A1D">
      <w:pPr>
        <w:jc w:val="both"/>
        <w:rPr>
          <w:sz w:val="22"/>
          <w:szCs w:val="22"/>
        </w:rPr>
      </w:pPr>
    </w:p>
    <w:p w:rsidR="00037A1D" w:rsidRPr="00037A1D" w:rsidRDefault="00037A1D" w:rsidP="00037A1D">
      <w:pPr>
        <w:ind w:left="708"/>
        <w:jc w:val="both"/>
        <w:rPr>
          <w:sz w:val="22"/>
          <w:szCs w:val="22"/>
        </w:rPr>
      </w:pPr>
      <w:r w:rsidRPr="00037A1D">
        <w:rPr>
          <w:sz w:val="22"/>
          <w:szCs w:val="22"/>
        </w:rPr>
        <w:t xml:space="preserve">.  Que la presente solicitud se debe a que por orden del mencionado organismo solo se </w:t>
      </w:r>
    </w:p>
    <w:p w:rsidR="00037A1D" w:rsidRPr="00037A1D" w:rsidRDefault="00037A1D" w:rsidP="00037A1D">
      <w:pPr>
        <w:jc w:val="both"/>
        <w:rPr>
          <w:sz w:val="22"/>
          <w:szCs w:val="22"/>
        </w:rPr>
      </w:pPr>
      <w:proofErr w:type="gramStart"/>
      <w:r w:rsidRPr="00037A1D">
        <w:rPr>
          <w:sz w:val="22"/>
          <w:szCs w:val="22"/>
        </w:rPr>
        <w:t>dará</w:t>
      </w:r>
      <w:proofErr w:type="gramEnd"/>
      <w:r w:rsidRPr="00037A1D">
        <w:rPr>
          <w:sz w:val="22"/>
          <w:szCs w:val="22"/>
        </w:rPr>
        <w:t xml:space="preserve"> reconocimiento oficial a los títulos cuyo Plan de Estudios coincidan con el aprobado por la Resolución Ministerial previamente mencionada. </w:t>
      </w:r>
    </w:p>
    <w:p w:rsidR="00037A1D" w:rsidRPr="00037A1D" w:rsidRDefault="00037A1D" w:rsidP="00037A1D">
      <w:pPr>
        <w:jc w:val="both"/>
        <w:rPr>
          <w:sz w:val="22"/>
          <w:szCs w:val="22"/>
        </w:rPr>
      </w:pPr>
    </w:p>
    <w:p w:rsidR="00037A1D" w:rsidRPr="00037A1D" w:rsidRDefault="00037A1D" w:rsidP="00037A1D">
      <w:pPr>
        <w:ind w:firstLine="708"/>
        <w:jc w:val="both"/>
        <w:rPr>
          <w:rFonts w:eastAsia="SimSun"/>
          <w:kern w:val="1"/>
          <w:sz w:val="22"/>
          <w:szCs w:val="22"/>
          <w:lang w:val="es-AR" w:eastAsia="ar-SA"/>
        </w:rPr>
      </w:pPr>
      <w:r w:rsidRPr="00037A1D">
        <w:rPr>
          <w:sz w:val="22"/>
          <w:szCs w:val="22"/>
        </w:rPr>
        <w:t xml:space="preserve">.  </w:t>
      </w:r>
      <w:r w:rsidRPr="00037A1D">
        <w:rPr>
          <w:rFonts w:eastAsia="SimSun"/>
          <w:kern w:val="1"/>
          <w:sz w:val="22"/>
          <w:szCs w:val="22"/>
          <w:lang w:val="es-AR" w:eastAsia="ar-SA"/>
        </w:rPr>
        <w:t>Que la Comisión de Asuntos Académicos, así como el propio Consejo Académico, recomienda homologar lo resuelto por la Comisión Evaluadora actuante.</w:t>
      </w:r>
    </w:p>
    <w:p w:rsidR="00037A1D" w:rsidRPr="00037A1D" w:rsidRDefault="00037A1D" w:rsidP="00037A1D">
      <w:pPr>
        <w:ind w:firstLine="708"/>
        <w:jc w:val="both"/>
        <w:rPr>
          <w:rFonts w:eastAsia="SimSun"/>
          <w:kern w:val="1"/>
          <w:sz w:val="22"/>
          <w:szCs w:val="22"/>
          <w:lang w:val="es-AR" w:eastAsia="ar-SA"/>
        </w:rPr>
      </w:pPr>
    </w:p>
    <w:p w:rsidR="00037A1D" w:rsidRPr="00000077" w:rsidRDefault="00037A1D" w:rsidP="00037A1D">
      <w:pPr>
        <w:suppressAutoHyphens/>
        <w:spacing w:after="200"/>
        <w:ind w:firstLine="708"/>
        <w:jc w:val="both"/>
        <w:rPr>
          <w:rFonts w:eastAsia="SimSun"/>
          <w:b/>
          <w:kern w:val="1"/>
          <w:sz w:val="22"/>
          <w:szCs w:val="22"/>
          <w:lang w:val="es-AR" w:eastAsia="ar-SA"/>
        </w:rPr>
      </w:pPr>
      <w:r w:rsidRPr="00000077">
        <w:rPr>
          <w:rFonts w:eastAsia="SimSun"/>
          <w:kern w:val="1"/>
          <w:sz w:val="22"/>
          <w:szCs w:val="22"/>
          <w:lang w:val="es-AR" w:eastAsia="ar-SA"/>
        </w:rPr>
        <w:t xml:space="preserve">Por ello, en uso de las atribuciones conferidas por el artículo 41° inc. f) del Estatuto de la Universidad, aprobado por Resolución Ministerial N° 2672/84 y modificado por </w:t>
      </w:r>
      <w:proofErr w:type="gramStart"/>
      <w:r w:rsidRPr="00000077">
        <w:rPr>
          <w:rFonts w:eastAsia="SimSun"/>
          <w:kern w:val="1"/>
          <w:sz w:val="22"/>
          <w:szCs w:val="22"/>
          <w:lang w:val="es-AR" w:eastAsia="ar-SA"/>
        </w:rPr>
        <w:t>la H. Asamblea Universitaria</w:t>
      </w:r>
      <w:proofErr w:type="gramEnd"/>
      <w:r w:rsidRPr="00000077">
        <w:rPr>
          <w:rFonts w:eastAsia="SimSun"/>
          <w:kern w:val="1"/>
          <w:sz w:val="22"/>
          <w:szCs w:val="22"/>
          <w:lang w:val="es-AR" w:eastAsia="ar-SA"/>
        </w:rPr>
        <w:t>;</w:t>
      </w:r>
    </w:p>
    <w:p w:rsidR="00037A1D" w:rsidRPr="00000077" w:rsidRDefault="00037A1D" w:rsidP="00037A1D">
      <w:pPr>
        <w:suppressAutoHyphens/>
        <w:spacing w:after="200"/>
        <w:jc w:val="center"/>
        <w:rPr>
          <w:rFonts w:eastAsia="SimSun"/>
          <w:b/>
          <w:kern w:val="1"/>
          <w:sz w:val="22"/>
          <w:szCs w:val="22"/>
          <w:u w:val="single"/>
          <w:lang w:val="es-AR" w:eastAsia="ar-SA"/>
        </w:rPr>
      </w:pPr>
      <w:r w:rsidRPr="00000077">
        <w:rPr>
          <w:rFonts w:eastAsia="SimSun"/>
          <w:b/>
          <w:kern w:val="1"/>
          <w:sz w:val="22"/>
          <w:szCs w:val="22"/>
          <w:lang w:val="es-AR" w:eastAsia="ar-SA"/>
        </w:rPr>
        <w:t>EL CONSEJO ACADÉMICO DE LA FACULTAD DE CIENCIAS HUMANAS DE LA UNIVERSIDAD NACIONAL DEL CENTRO DE LA PROVINCIA DE BUENOS AIRES</w:t>
      </w:r>
    </w:p>
    <w:p w:rsidR="00037A1D" w:rsidRPr="00000077" w:rsidRDefault="00037A1D" w:rsidP="00037A1D">
      <w:pPr>
        <w:suppressAutoHyphens/>
        <w:spacing w:after="200"/>
        <w:jc w:val="center"/>
        <w:rPr>
          <w:rFonts w:eastAsia="SimSun"/>
          <w:b/>
          <w:kern w:val="1"/>
          <w:sz w:val="22"/>
          <w:szCs w:val="22"/>
          <w:u w:val="single"/>
          <w:lang w:val="es-AR" w:eastAsia="ar-SA"/>
        </w:rPr>
      </w:pPr>
      <w:r w:rsidRPr="00000077">
        <w:rPr>
          <w:rFonts w:eastAsia="SimSun"/>
          <w:b/>
          <w:kern w:val="1"/>
          <w:sz w:val="22"/>
          <w:szCs w:val="22"/>
          <w:u w:val="single"/>
          <w:lang w:val="es-AR" w:eastAsia="ar-SA"/>
        </w:rPr>
        <w:t>RESUELVE</w:t>
      </w:r>
    </w:p>
    <w:p w:rsidR="00037A1D" w:rsidRPr="00037A1D" w:rsidRDefault="00037A1D" w:rsidP="00037A1D">
      <w:pPr>
        <w:ind w:firstLine="708"/>
        <w:jc w:val="both"/>
        <w:rPr>
          <w:sz w:val="22"/>
          <w:szCs w:val="22"/>
        </w:rPr>
      </w:pPr>
    </w:p>
    <w:p w:rsidR="00037A1D" w:rsidRPr="00037A1D" w:rsidRDefault="00037A1D" w:rsidP="00037A1D">
      <w:pPr>
        <w:jc w:val="both"/>
        <w:rPr>
          <w:sz w:val="22"/>
          <w:szCs w:val="22"/>
        </w:rPr>
      </w:pPr>
      <w:r w:rsidRPr="00037A1D">
        <w:rPr>
          <w:b/>
          <w:sz w:val="22"/>
          <w:szCs w:val="22"/>
          <w:u w:val="single"/>
          <w:lang w:val="es-ES"/>
        </w:rPr>
        <w:t>Artículo 1º:</w:t>
      </w:r>
      <w:r w:rsidRPr="00037A1D">
        <w:rPr>
          <w:rFonts w:cs="Calibri"/>
          <w:b/>
          <w:sz w:val="22"/>
          <w:szCs w:val="22"/>
        </w:rPr>
        <w:t xml:space="preserve"> </w:t>
      </w:r>
      <w:r w:rsidRPr="00037A1D">
        <w:rPr>
          <w:sz w:val="22"/>
          <w:szCs w:val="22"/>
        </w:rPr>
        <w:t>Autorizar a modificar en el SIU GUARANI la denominación de las asignaturas, en coincidencia con lo establecido en la</w:t>
      </w:r>
      <w:r w:rsidRPr="00037A1D">
        <w:rPr>
          <w:sz w:val="22"/>
          <w:szCs w:val="22"/>
        </w:rPr>
        <w:t xml:space="preserve"> Resolución</w:t>
      </w:r>
      <w:r w:rsidRPr="00037A1D">
        <w:rPr>
          <w:sz w:val="22"/>
          <w:szCs w:val="22"/>
        </w:rPr>
        <w:t xml:space="preserve"> </w:t>
      </w:r>
      <w:r w:rsidRPr="00037A1D">
        <w:rPr>
          <w:sz w:val="22"/>
          <w:szCs w:val="22"/>
        </w:rPr>
        <w:t>550/06</w:t>
      </w:r>
      <w:r w:rsidRPr="00037A1D">
        <w:rPr>
          <w:sz w:val="22"/>
          <w:szCs w:val="22"/>
        </w:rPr>
        <w:t xml:space="preserve"> del Ministerio de Educación, Ciencia y Tecnología, correspondientes a la</w:t>
      </w:r>
      <w:r w:rsidRPr="00037A1D">
        <w:rPr>
          <w:sz w:val="22"/>
          <w:szCs w:val="22"/>
        </w:rPr>
        <w:t>s</w:t>
      </w:r>
      <w:r w:rsidRPr="00037A1D">
        <w:rPr>
          <w:sz w:val="22"/>
          <w:szCs w:val="22"/>
        </w:rPr>
        <w:t xml:space="preserve"> carrera</w:t>
      </w:r>
      <w:r w:rsidRPr="00037A1D">
        <w:rPr>
          <w:sz w:val="22"/>
          <w:szCs w:val="22"/>
        </w:rPr>
        <w:t>s</w:t>
      </w:r>
      <w:r w:rsidRPr="00037A1D">
        <w:rPr>
          <w:sz w:val="22"/>
          <w:szCs w:val="22"/>
        </w:rPr>
        <w:t xml:space="preserve"> de </w:t>
      </w:r>
      <w:r w:rsidRPr="00037A1D">
        <w:rPr>
          <w:b/>
          <w:sz w:val="22"/>
          <w:szCs w:val="22"/>
        </w:rPr>
        <w:t>Profesorado/</w:t>
      </w:r>
      <w:r w:rsidRPr="00037A1D">
        <w:rPr>
          <w:b/>
          <w:sz w:val="22"/>
          <w:szCs w:val="22"/>
        </w:rPr>
        <w:t>Licenciatura en Educación Inicial</w:t>
      </w:r>
      <w:r w:rsidRPr="00037A1D">
        <w:rPr>
          <w:b/>
          <w:sz w:val="22"/>
          <w:szCs w:val="22"/>
        </w:rPr>
        <w:t xml:space="preserve">, </w:t>
      </w:r>
      <w:r w:rsidRPr="00037A1D">
        <w:rPr>
          <w:sz w:val="22"/>
          <w:szCs w:val="22"/>
        </w:rPr>
        <w:t>modalidad presencial</w:t>
      </w:r>
      <w:r w:rsidRPr="00037A1D">
        <w:rPr>
          <w:sz w:val="22"/>
          <w:szCs w:val="22"/>
        </w:rPr>
        <w:t>:</w:t>
      </w:r>
    </w:p>
    <w:p w:rsidR="00037A1D" w:rsidRPr="00037A1D" w:rsidRDefault="00037A1D" w:rsidP="00037A1D">
      <w:pPr>
        <w:jc w:val="both"/>
        <w:rPr>
          <w:sz w:val="22"/>
          <w:szCs w:val="22"/>
        </w:rPr>
      </w:pPr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</w:rPr>
      </w:pPr>
      <w:r w:rsidRPr="00037A1D">
        <w:rPr>
          <w:rFonts w:ascii="Times New Roman" w:hAnsi="Times New Roman"/>
          <w:i/>
        </w:rPr>
        <w:t xml:space="preserve">Donde dice: </w:t>
      </w:r>
      <w:r w:rsidRPr="00037A1D">
        <w:rPr>
          <w:rFonts w:ascii="Times New Roman" w:hAnsi="Times New Roman"/>
        </w:rPr>
        <w:t xml:space="preserve">Prácticas Educativas en el Nivel Inicial I (Observaciones). </w:t>
      </w:r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</w:rPr>
      </w:pPr>
      <w:r w:rsidRPr="00037A1D">
        <w:rPr>
          <w:rFonts w:ascii="Times New Roman" w:hAnsi="Times New Roman"/>
          <w:i/>
        </w:rPr>
        <w:t>Debe decir</w:t>
      </w:r>
      <w:r w:rsidRPr="00037A1D">
        <w:rPr>
          <w:rFonts w:ascii="Times New Roman" w:hAnsi="Times New Roman"/>
        </w:rPr>
        <w:t>: Prácticas Educativas en el Nivel Inicial I. Observaciones. Jardín Maternal. Jardín de Infantes.</w:t>
      </w:r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  <w:i/>
        </w:rPr>
      </w:pPr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</w:rPr>
      </w:pPr>
      <w:r w:rsidRPr="00037A1D">
        <w:rPr>
          <w:rFonts w:ascii="Times New Roman" w:hAnsi="Times New Roman"/>
          <w:i/>
        </w:rPr>
        <w:t xml:space="preserve">Donde dice: </w:t>
      </w:r>
      <w:r w:rsidRPr="00037A1D">
        <w:rPr>
          <w:rFonts w:ascii="Times New Roman" w:hAnsi="Times New Roman"/>
        </w:rPr>
        <w:t xml:space="preserve">Prácticas Educativas en el Nivel Inicial II (Acompañamiento). </w:t>
      </w:r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</w:rPr>
      </w:pPr>
      <w:r w:rsidRPr="00037A1D">
        <w:rPr>
          <w:rFonts w:ascii="Times New Roman" w:hAnsi="Times New Roman"/>
          <w:i/>
        </w:rPr>
        <w:t>Debe decir</w:t>
      </w:r>
      <w:r w:rsidRPr="00037A1D">
        <w:rPr>
          <w:rFonts w:ascii="Times New Roman" w:hAnsi="Times New Roman"/>
        </w:rPr>
        <w:t>: Prácticas Educativas en el Nivel Inicial. Acompañamiento. Jardín Maternal y de Infantes. Educación Especial.</w:t>
      </w:r>
    </w:p>
    <w:p w:rsidR="00037A1D" w:rsidRDefault="00037A1D" w:rsidP="00037A1D">
      <w:pPr>
        <w:pStyle w:val="Prrafodelista"/>
        <w:jc w:val="both"/>
        <w:rPr>
          <w:rFonts w:ascii="Times New Roman" w:hAnsi="Times New Roman"/>
        </w:rPr>
      </w:pPr>
    </w:p>
    <w:p w:rsidR="00037A1D" w:rsidRDefault="00037A1D" w:rsidP="00037A1D">
      <w:pPr>
        <w:pStyle w:val="Prrafodelista"/>
        <w:jc w:val="both"/>
        <w:rPr>
          <w:rFonts w:ascii="Times New Roman" w:hAnsi="Times New Roman"/>
        </w:rPr>
      </w:pPr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</w:rPr>
      </w:pPr>
      <w:bookmarkStart w:id="0" w:name="_GoBack"/>
      <w:bookmarkEnd w:id="0"/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</w:rPr>
      </w:pPr>
      <w:r w:rsidRPr="00037A1D">
        <w:rPr>
          <w:rFonts w:ascii="Times New Roman" w:hAnsi="Times New Roman"/>
          <w:i/>
        </w:rPr>
        <w:lastRenderedPageBreak/>
        <w:t xml:space="preserve">Donde dice: </w:t>
      </w:r>
      <w:r w:rsidRPr="00037A1D">
        <w:rPr>
          <w:rFonts w:ascii="Times New Roman" w:hAnsi="Times New Roman"/>
        </w:rPr>
        <w:t xml:space="preserve">Prácticas Educativas en el Nivel Inicial III (Residencia). </w:t>
      </w:r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</w:rPr>
      </w:pPr>
      <w:r w:rsidRPr="00037A1D">
        <w:rPr>
          <w:rFonts w:ascii="Times New Roman" w:hAnsi="Times New Roman"/>
          <w:i/>
        </w:rPr>
        <w:t>Debe decir</w:t>
      </w:r>
      <w:r w:rsidRPr="00037A1D">
        <w:rPr>
          <w:rFonts w:ascii="Times New Roman" w:hAnsi="Times New Roman"/>
        </w:rPr>
        <w:t>: Prácticas Educativas en el Nivel Inicial III. Residencia. Jardín Maternal. Jardín de Infantes.</w:t>
      </w:r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  <w:i/>
        </w:rPr>
      </w:pPr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</w:rPr>
      </w:pPr>
      <w:r w:rsidRPr="00037A1D">
        <w:rPr>
          <w:rFonts w:ascii="Times New Roman" w:hAnsi="Times New Roman"/>
          <w:i/>
        </w:rPr>
        <w:t xml:space="preserve">Donde dice: </w:t>
      </w:r>
      <w:r w:rsidRPr="00037A1D">
        <w:rPr>
          <w:rFonts w:ascii="Times New Roman" w:hAnsi="Times New Roman"/>
        </w:rPr>
        <w:t xml:space="preserve">Seminario y el nombre correspondiente. </w:t>
      </w:r>
    </w:p>
    <w:p w:rsidR="00037A1D" w:rsidRPr="00037A1D" w:rsidRDefault="00037A1D" w:rsidP="00037A1D">
      <w:pPr>
        <w:pStyle w:val="Prrafodelista"/>
        <w:jc w:val="both"/>
        <w:rPr>
          <w:rFonts w:ascii="Times New Roman" w:hAnsi="Times New Roman"/>
        </w:rPr>
      </w:pPr>
      <w:r w:rsidRPr="00037A1D">
        <w:rPr>
          <w:rFonts w:ascii="Times New Roman" w:hAnsi="Times New Roman"/>
          <w:i/>
        </w:rPr>
        <w:t>Debe decir</w:t>
      </w:r>
      <w:r w:rsidRPr="00037A1D">
        <w:rPr>
          <w:rFonts w:ascii="Times New Roman" w:hAnsi="Times New Roman"/>
        </w:rPr>
        <w:t>: Seminario o curso Temático y el nombre correspondiente.</w:t>
      </w:r>
    </w:p>
    <w:p w:rsidR="00037A1D" w:rsidRPr="00037A1D" w:rsidRDefault="00037A1D" w:rsidP="00037A1D">
      <w:pPr>
        <w:pStyle w:val="Prrafodelista"/>
        <w:rPr>
          <w:rFonts w:ascii="Times New Roman" w:hAnsi="Times New Roman"/>
        </w:rPr>
      </w:pPr>
    </w:p>
    <w:p w:rsidR="00037A1D" w:rsidRPr="00037A1D" w:rsidRDefault="00037A1D" w:rsidP="00037A1D">
      <w:pPr>
        <w:jc w:val="both"/>
        <w:rPr>
          <w:rFonts w:cs="Calibri"/>
          <w:sz w:val="22"/>
          <w:szCs w:val="22"/>
        </w:rPr>
      </w:pPr>
      <w:r w:rsidRPr="00037A1D">
        <w:rPr>
          <w:b/>
          <w:sz w:val="22"/>
          <w:szCs w:val="22"/>
          <w:u w:val="single"/>
        </w:rPr>
        <w:t xml:space="preserve">Artículo 2º: </w:t>
      </w:r>
      <w:r w:rsidRPr="00037A1D">
        <w:rPr>
          <w:rFonts w:cs="Calibri"/>
          <w:sz w:val="22"/>
          <w:szCs w:val="22"/>
        </w:rPr>
        <w:t>Se autoriza a que se convalide que aquellas actas generadas con anterioridad a la entrada en vigencia de la resolución sean homologables en su denominación con las actuales.</w:t>
      </w:r>
    </w:p>
    <w:p w:rsidR="00037A1D" w:rsidRPr="00037A1D" w:rsidRDefault="00037A1D" w:rsidP="00037A1D">
      <w:pPr>
        <w:jc w:val="both"/>
        <w:rPr>
          <w:rFonts w:cs="Calibri"/>
          <w:sz w:val="22"/>
          <w:szCs w:val="22"/>
        </w:rPr>
      </w:pPr>
    </w:p>
    <w:p w:rsidR="00037A1D" w:rsidRPr="00037A1D" w:rsidRDefault="00037A1D" w:rsidP="00037A1D">
      <w:pPr>
        <w:jc w:val="both"/>
        <w:rPr>
          <w:sz w:val="22"/>
          <w:szCs w:val="22"/>
        </w:rPr>
      </w:pPr>
      <w:r w:rsidRPr="00037A1D">
        <w:rPr>
          <w:b/>
          <w:sz w:val="22"/>
          <w:szCs w:val="22"/>
          <w:u w:val="single"/>
        </w:rPr>
        <w:t>Artículo 3º:</w:t>
      </w:r>
      <w:r w:rsidRPr="00037A1D">
        <w:rPr>
          <w:sz w:val="22"/>
          <w:szCs w:val="22"/>
        </w:rPr>
        <w:t xml:space="preserve"> Comuníquese, notifíquese, </w:t>
      </w:r>
      <w:proofErr w:type="spellStart"/>
      <w:r w:rsidRPr="00037A1D">
        <w:rPr>
          <w:sz w:val="22"/>
          <w:szCs w:val="22"/>
        </w:rPr>
        <w:t>dése</w:t>
      </w:r>
      <w:proofErr w:type="spellEnd"/>
      <w:r w:rsidRPr="00037A1D">
        <w:rPr>
          <w:sz w:val="22"/>
          <w:szCs w:val="22"/>
        </w:rPr>
        <w:t xml:space="preserve"> al registro y archívese.</w:t>
      </w:r>
    </w:p>
    <w:p w:rsidR="00037A1D" w:rsidRPr="00037A1D" w:rsidRDefault="00037A1D" w:rsidP="00037A1D">
      <w:pPr>
        <w:jc w:val="both"/>
        <w:rPr>
          <w:sz w:val="22"/>
          <w:szCs w:val="22"/>
        </w:rPr>
      </w:pPr>
    </w:p>
    <w:p w:rsidR="00341E5D" w:rsidRPr="00037A1D" w:rsidRDefault="00341E5D">
      <w:pPr>
        <w:rPr>
          <w:sz w:val="22"/>
          <w:szCs w:val="22"/>
        </w:rPr>
      </w:pPr>
    </w:p>
    <w:sectPr w:rsidR="00341E5D" w:rsidRPr="00037A1D" w:rsidSect="00EC3196">
      <w:pgSz w:w="11907" w:h="16840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1D"/>
    <w:rsid w:val="00037A1D"/>
    <w:rsid w:val="003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CDEC-8A86-45CD-A006-435E8AF1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A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Veronica Diaz</dc:creator>
  <cp:keywords/>
  <dc:description/>
  <cp:lastModifiedBy>Luciana Veronica Diaz</cp:lastModifiedBy>
  <cp:revision>1</cp:revision>
  <dcterms:created xsi:type="dcterms:W3CDTF">2019-06-25T21:20:00Z</dcterms:created>
  <dcterms:modified xsi:type="dcterms:W3CDTF">2019-06-25T21:28:00Z</dcterms:modified>
</cp:coreProperties>
</file>