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B55" w:rsidRDefault="006564B7" w:rsidP="00F30749">
      <w:pPr>
        <w:tabs>
          <w:tab w:val="left" w:pos="299"/>
        </w:tabs>
        <w:rPr>
          <w:sz w:val="24"/>
          <w:szCs w:val="24"/>
        </w:rPr>
      </w:pPr>
      <w:r w:rsidRPr="006564B7">
        <w:rPr>
          <w:noProof/>
          <w:sz w:val="24"/>
          <w:szCs w:val="24"/>
          <w:lang w:eastAsia="es-ES_tradnl"/>
        </w:rPr>
        <w:drawing>
          <wp:inline distT="0" distB="0" distL="0" distR="0">
            <wp:extent cx="2228850" cy="1076325"/>
            <wp:effectExtent l="0" t="0" r="0" b="0"/>
            <wp:docPr id="4" name="Imagen 1" descr="FCH - Versión Horizontal Gris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 Imagen" descr="FCH - Versión Horizontal Grises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851" cy="107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B55" w:rsidRDefault="00764B55" w:rsidP="00764B55">
      <w:pPr>
        <w:jc w:val="right"/>
        <w:rPr>
          <w:sz w:val="24"/>
          <w:szCs w:val="24"/>
        </w:rPr>
      </w:pPr>
    </w:p>
    <w:p w:rsidR="00764B55" w:rsidRDefault="00764B55" w:rsidP="00764B55">
      <w:pPr>
        <w:jc w:val="right"/>
        <w:rPr>
          <w:sz w:val="24"/>
          <w:szCs w:val="24"/>
        </w:rPr>
      </w:pPr>
      <w:r w:rsidRPr="006034E5">
        <w:rPr>
          <w:sz w:val="24"/>
          <w:szCs w:val="24"/>
        </w:rPr>
        <w:t xml:space="preserve">Tandil, </w:t>
      </w:r>
      <w:r w:rsidR="00A04C51">
        <w:rPr>
          <w:sz w:val="24"/>
          <w:szCs w:val="24"/>
        </w:rPr>
        <w:t>11</w:t>
      </w:r>
      <w:r w:rsidRPr="006034E5">
        <w:rPr>
          <w:sz w:val="24"/>
          <w:szCs w:val="24"/>
        </w:rPr>
        <w:t xml:space="preserve"> de</w:t>
      </w:r>
      <w:r w:rsidR="00AA1F04">
        <w:rPr>
          <w:sz w:val="24"/>
          <w:szCs w:val="24"/>
        </w:rPr>
        <w:t xml:space="preserve"> </w:t>
      </w:r>
      <w:r w:rsidR="00A17D07">
        <w:rPr>
          <w:sz w:val="24"/>
          <w:szCs w:val="24"/>
        </w:rPr>
        <w:t>setiembre</w:t>
      </w:r>
      <w:r w:rsidRPr="006034E5">
        <w:rPr>
          <w:sz w:val="24"/>
          <w:szCs w:val="24"/>
        </w:rPr>
        <w:t xml:space="preserve"> de 201</w:t>
      </w:r>
      <w:r w:rsidR="00A04C51">
        <w:rPr>
          <w:sz w:val="24"/>
          <w:szCs w:val="24"/>
        </w:rPr>
        <w:t>9</w:t>
      </w:r>
    </w:p>
    <w:p w:rsidR="002933E1" w:rsidRDefault="002933E1" w:rsidP="00764B55">
      <w:pPr>
        <w:jc w:val="right"/>
        <w:rPr>
          <w:sz w:val="24"/>
          <w:szCs w:val="24"/>
        </w:rPr>
      </w:pPr>
    </w:p>
    <w:p w:rsidR="00764B55" w:rsidRPr="006034E5" w:rsidRDefault="00764B55" w:rsidP="00764B55">
      <w:pPr>
        <w:rPr>
          <w:b/>
          <w:sz w:val="24"/>
          <w:szCs w:val="24"/>
        </w:rPr>
      </w:pPr>
    </w:p>
    <w:p w:rsidR="00764B55" w:rsidRPr="006034E5" w:rsidRDefault="00764B55" w:rsidP="00764B55">
      <w:pPr>
        <w:jc w:val="center"/>
        <w:rPr>
          <w:sz w:val="24"/>
          <w:szCs w:val="24"/>
        </w:rPr>
      </w:pPr>
      <w:r w:rsidRPr="006034E5">
        <w:rPr>
          <w:b/>
          <w:sz w:val="24"/>
          <w:szCs w:val="24"/>
        </w:rPr>
        <w:t xml:space="preserve">RESOLUCION DE CONSEJO ACADEMICO Nro. </w:t>
      </w:r>
      <w:r w:rsidR="00A17D07">
        <w:rPr>
          <w:b/>
          <w:sz w:val="24"/>
          <w:szCs w:val="24"/>
        </w:rPr>
        <w:t>3</w:t>
      </w:r>
      <w:r w:rsidR="00A04C51">
        <w:rPr>
          <w:b/>
          <w:sz w:val="24"/>
          <w:szCs w:val="24"/>
        </w:rPr>
        <w:t>80</w:t>
      </w:r>
      <w:r w:rsidRPr="006034E5">
        <w:rPr>
          <w:b/>
          <w:sz w:val="24"/>
          <w:szCs w:val="24"/>
        </w:rPr>
        <w:t>/1</w:t>
      </w:r>
      <w:r w:rsidR="00A04C51">
        <w:rPr>
          <w:b/>
          <w:sz w:val="24"/>
          <w:szCs w:val="24"/>
        </w:rPr>
        <w:t>9</w:t>
      </w:r>
    </w:p>
    <w:p w:rsidR="00764B55" w:rsidRPr="006034E5" w:rsidRDefault="00764B55" w:rsidP="00764B55">
      <w:pPr>
        <w:rPr>
          <w:b/>
          <w:sz w:val="24"/>
          <w:szCs w:val="24"/>
        </w:rPr>
      </w:pPr>
    </w:p>
    <w:p w:rsidR="00764B55" w:rsidRPr="006034E5" w:rsidRDefault="00764B55" w:rsidP="00764B55">
      <w:pPr>
        <w:rPr>
          <w:sz w:val="24"/>
          <w:szCs w:val="24"/>
        </w:rPr>
      </w:pPr>
      <w:r w:rsidRPr="006034E5">
        <w:rPr>
          <w:b/>
          <w:sz w:val="24"/>
          <w:szCs w:val="24"/>
        </w:rPr>
        <w:t>VISTO:</w:t>
      </w:r>
    </w:p>
    <w:p w:rsidR="00764B55" w:rsidRPr="006034E5" w:rsidRDefault="00764B55" w:rsidP="00764B55">
      <w:pPr>
        <w:jc w:val="both"/>
        <w:rPr>
          <w:sz w:val="24"/>
          <w:szCs w:val="24"/>
        </w:rPr>
      </w:pPr>
      <w:r w:rsidRPr="006034E5">
        <w:rPr>
          <w:sz w:val="24"/>
          <w:szCs w:val="24"/>
        </w:rPr>
        <w:tab/>
      </w:r>
      <w:r w:rsidRPr="006034E5">
        <w:rPr>
          <w:sz w:val="24"/>
          <w:szCs w:val="24"/>
        </w:rPr>
        <w:tab/>
      </w:r>
    </w:p>
    <w:p w:rsidR="00076B28" w:rsidRPr="00890249" w:rsidRDefault="00076B28" w:rsidP="00076B28">
      <w:pPr>
        <w:pStyle w:val="Sangradetextonormal"/>
        <w:jc w:val="both"/>
        <w:rPr>
          <w:szCs w:val="24"/>
        </w:rPr>
      </w:pPr>
      <w:r w:rsidRPr="00890249">
        <w:rPr>
          <w:szCs w:val="24"/>
        </w:rPr>
        <w:t xml:space="preserve">La </w:t>
      </w:r>
      <w:r w:rsidR="007F4544">
        <w:rPr>
          <w:szCs w:val="24"/>
        </w:rPr>
        <w:t xml:space="preserve">nota presentada por </w:t>
      </w:r>
      <w:r w:rsidR="00A17D07">
        <w:rPr>
          <w:szCs w:val="24"/>
        </w:rPr>
        <w:t xml:space="preserve">la </w:t>
      </w:r>
      <w:r w:rsidR="00A04C51">
        <w:rPr>
          <w:szCs w:val="24"/>
        </w:rPr>
        <w:t>Decana</w:t>
      </w:r>
      <w:r w:rsidR="00596862">
        <w:rPr>
          <w:szCs w:val="24"/>
        </w:rPr>
        <w:t xml:space="preserve">, de esta Facultad, </w:t>
      </w:r>
      <w:r w:rsidR="00A04C51">
        <w:rPr>
          <w:szCs w:val="24"/>
        </w:rPr>
        <w:t>Prof</w:t>
      </w:r>
      <w:r w:rsidR="00596862">
        <w:rPr>
          <w:szCs w:val="24"/>
        </w:rPr>
        <w:t xml:space="preserve">. </w:t>
      </w:r>
      <w:r w:rsidR="00A04C51">
        <w:rPr>
          <w:szCs w:val="24"/>
        </w:rPr>
        <w:t>ALICIA SPINELLO</w:t>
      </w:r>
      <w:r w:rsidR="00C17CC4">
        <w:rPr>
          <w:szCs w:val="24"/>
        </w:rPr>
        <w:t xml:space="preserve">, </w:t>
      </w:r>
      <w:r w:rsidR="00BA67EB">
        <w:rPr>
          <w:szCs w:val="24"/>
        </w:rPr>
        <w:t>y</w:t>
      </w:r>
    </w:p>
    <w:p w:rsidR="00076B28" w:rsidRDefault="00076B28" w:rsidP="00764B55">
      <w:pPr>
        <w:jc w:val="both"/>
        <w:rPr>
          <w:b/>
          <w:sz w:val="24"/>
          <w:szCs w:val="24"/>
        </w:rPr>
      </w:pPr>
    </w:p>
    <w:p w:rsidR="00764B55" w:rsidRPr="006034E5" w:rsidRDefault="00764B55" w:rsidP="00764B55">
      <w:pPr>
        <w:jc w:val="both"/>
        <w:rPr>
          <w:b/>
          <w:sz w:val="24"/>
          <w:szCs w:val="24"/>
        </w:rPr>
      </w:pPr>
      <w:r w:rsidRPr="006034E5">
        <w:rPr>
          <w:b/>
          <w:sz w:val="24"/>
          <w:szCs w:val="24"/>
        </w:rPr>
        <w:t>CONSIDERANDO:</w:t>
      </w:r>
    </w:p>
    <w:p w:rsidR="00764B55" w:rsidRDefault="00764B55" w:rsidP="00764B55">
      <w:pPr>
        <w:jc w:val="both"/>
        <w:rPr>
          <w:sz w:val="24"/>
          <w:szCs w:val="24"/>
        </w:rPr>
      </w:pPr>
    </w:p>
    <w:p w:rsidR="00996EC0" w:rsidRDefault="00764B55" w:rsidP="002933E1">
      <w:pPr>
        <w:ind w:firstLine="708"/>
        <w:jc w:val="both"/>
        <w:rPr>
          <w:sz w:val="24"/>
          <w:szCs w:val="24"/>
        </w:rPr>
      </w:pPr>
      <w:r w:rsidRPr="004432A5">
        <w:rPr>
          <w:sz w:val="24"/>
          <w:szCs w:val="24"/>
        </w:rPr>
        <w:t xml:space="preserve">. Que </w:t>
      </w:r>
      <w:r w:rsidR="00C17CC4">
        <w:rPr>
          <w:sz w:val="24"/>
          <w:szCs w:val="24"/>
        </w:rPr>
        <w:t xml:space="preserve">por la misma </w:t>
      </w:r>
      <w:r w:rsidR="00A17D07">
        <w:rPr>
          <w:sz w:val="24"/>
          <w:szCs w:val="24"/>
        </w:rPr>
        <w:t xml:space="preserve">eleva </w:t>
      </w:r>
      <w:r w:rsidR="002933E1">
        <w:rPr>
          <w:sz w:val="24"/>
          <w:szCs w:val="24"/>
        </w:rPr>
        <w:t>para consideración de</w:t>
      </w:r>
      <w:r w:rsidR="00596862">
        <w:rPr>
          <w:sz w:val="24"/>
          <w:szCs w:val="24"/>
        </w:rPr>
        <w:t xml:space="preserve"> los </w:t>
      </w:r>
      <w:r w:rsidR="00C17CC4">
        <w:rPr>
          <w:sz w:val="24"/>
          <w:szCs w:val="24"/>
        </w:rPr>
        <w:t xml:space="preserve">Miembros del Consejo Académico, </w:t>
      </w:r>
      <w:r w:rsidR="006409A3">
        <w:rPr>
          <w:sz w:val="24"/>
          <w:szCs w:val="24"/>
          <w:lang w:val="es-ES"/>
        </w:rPr>
        <w:t xml:space="preserve">la Ordenanza de Consejo Superior Nº 4900 por el cual se presenta el </w:t>
      </w:r>
      <w:r w:rsidR="002933E1">
        <w:rPr>
          <w:sz w:val="24"/>
          <w:szCs w:val="24"/>
        </w:rPr>
        <w:t xml:space="preserve">Cronograma de Elecciones para la renovación de representantes Alumnos, Graduados, Docentes y </w:t>
      </w:r>
      <w:proofErr w:type="spellStart"/>
      <w:r w:rsidR="002933E1">
        <w:rPr>
          <w:sz w:val="24"/>
          <w:szCs w:val="24"/>
        </w:rPr>
        <w:t>Nodocentes</w:t>
      </w:r>
      <w:proofErr w:type="spellEnd"/>
      <w:r w:rsidR="002933E1">
        <w:rPr>
          <w:sz w:val="24"/>
          <w:szCs w:val="24"/>
        </w:rPr>
        <w:t>, así como las fechas para empadronamiento</w:t>
      </w:r>
      <w:r w:rsidR="00996EC0">
        <w:rPr>
          <w:sz w:val="24"/>
          <w:szCs w:val="24"/>
        </w:rPr>
        <w:t xml:space="preserve"> </w:t>
      </w:r>
    </w:p>
    <w:p w:rsidR="00203CC8" w:rsidRDefault="00203CC8" w:rsidP="00203CC8">
      <w:pPr>
        <w:ind w:firstLine="708"/>
        <w:jc w:val="both"/>
        <w:rPr>
          <w:sz w:val="24"/>
          <w:szCs w:val="24"/>
        </w:rPr>
      </w:pPr>
    </w:p>
    <w:p w:rsidR="009D27DC" w:rsidRDefault="009D27DC" w:rsidP="00764B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203CC8">
        <w:rPr>
          <w:sz w:val="24"/>
          <w:szCs w:val="24"/>
        </w:rPr>
        <w:t xml:space="preserve"> Que la Comisión de Asuntos Académicos, así como el propio Consejo Académico, recomienda aprobar </w:t>
      </w:r>
      <w:r w:rsidR="002933E1">
        <w:rPr>
          <w:sz w:val="24"/>
          <w:szCs w:val="24"/>
        </w:rPr>
        <w:t>la propuesta presentada.</w:t>
      </w:r>
      <w:r w:rsidR="00203CC8">
        <w:rPr>
          <w:sz w:val="24"/>
          <w:szCs w:val="24"/>
        </w:rPr>
        <w:t xml:space="preserve"> </w:t>
      </w:r>
    </w:p>
    <w:p w:rsidR="009D27DC" w:rsidRPr="006034E5" w:rsidRDefault="009D27DC" w:rsidP="00764B55">
      <w:pPr>
        <w:ind w:firstLine="708"/>
        <w:jc w:val="both"/>
        <w:rPr>
          <w:sz w:val="24"/>
          <w:szCs w:val="24"/>
        </w:rPr>
      </w:pPr>
    </w:p>
    <w:p w:rsidR="00764B55" w:rsidRPr="006034E5" w:rsidRDefault="00764B55" w:rsidP="00764B55">
      <w:pPr>
        <w:ind w:firstLine="708"/>
        <w:jc w:val="both"/>
        <w:rPr>
          <w:sz w:val="24"/>
          <w:szCs w:val="24"/>
        </w:rPr>
      </w:pPr>
      <w:r w:rsidRPr="006034E5">
        <w:rPr>
          <w:sz w:val="24"/>
          <w:szCs w:val="24"/>
        </w:rPr>
        <w:t xml:space="preserve">Por ello, en uso de las atribuciones conferidas por el artículo 41º inc. f) del Estatuto de la Universidad, aprobado por Resolución Ministerial Nro. 2672/84 y modificado por la H. Asamblea Universitaria; </w:t>
      </w:r>
    </w:p>
    <w:p w:rsidR="00764B55" w:rsidRDefault="00764B55" w:rsidP="00764B55">
      <w:pPr>
        <w:jc w:val="both"/>
        <w:rPr>
          <w:sz w:val="24"/>
          <w:szCs w:val="24"/>
        </w:rPr>
      </w:pPr>
    </w:p>
    <w:p w:rsidR="00A53B34" w:rsidRDefault="00A53B34" w:rsidP="00764B55">
      <w:pPr>
        <w:jc w:val="both"/>
        <w:rPr>
          <w:sz w:val="24"/>
          <w:szCs w:val="24"/>
        </w:rPr>
      </w:pPr>
    </w:p>
    <w:p w:rsidR="00764B55" w:rsidRPr="006034E5" w:rsidRDefault="00764B55" w:rsidP="00764B55">
      <w:pPr>
        <w:jc w:val="center"/>
        <w:rPr>
          <w:b/>
          <w:sz w:val="24"/>
          <w:szCs w:val="24"/>
        </w:rPr>
      </w:pPr>
      <w:r w:rsidRPr="006034E5">
        <w:rPr>
          <w:b/>
          <w:sz w:val="24"/>
          <w:szCs w:val="24"/>
        </w:rPr>
        <w:t>EL CONSEJO ACADEMICO DE LA FACULTAD DE CIENCIAS HUMANAS DE LA</w:t>
      </w:r>
    </w:p>
    <w:p w:rsidR="00764B55" w:rsidRPr="006034E5" w:rsidRDefault="00764B55" w:rsidP="00764B55">
      <w:pPr>
        <w:jc w:val="center"/>
        <w:rPr>
          <w:b/>
          <w:sz w:val="24"/>
          <w:szCs w:val="24"/>
        </w:rPr>
      </w:pPr>
      <w:r w:rsidRPr="006034E5">
        <w:rPr>
          <w:b/>
          <w:sz w:val="24"/>
          <w:szCs w:val="24"/>
        </w:rPr>
        <w:t>UNIVERSIDAD NACIONAL DEL CENTRO DE LA PROVINCIA DE BUENOS AIRES</w:t>
      </w:r>
    </w:p>
    <w:p w:rsidR="002501BF" w:rsidRDefault="002501BF" w:rsidP="00764B55">
      <w:pPr>
        <w:rPr>
          <w:sz w:val="24"/>
          <w:szCs w:val="24"/>
        </w:rPr>
      </w:pPr>
    </w:p>
    <w:p w:rsidR="00A53B34" w:rsidRPr="006034E5" w:rsidRDefault="00A53B34" w:rsidP="00764B55">
      <w:pPr>
        <w:rPr>
          <w:sz w:val="24"/>
          <w:szCs w:val="24"/>
        </w:rPr>
      </w:pPr>
    </w:p>
    <w:p w:rsidR="00764B55" w:rsidRPr="006034E5" w:rsidRDefault="00764B55" w:rsidP="00764B55">
      <w:pPr>
        <w:pStyle w:val="Ttulo1"/>
        <w:rPr>
          <w:sz w:val="24"/>
          <w:szCs w:val="24"/>
        </w:rPr>
      </w:pPr>
      <w:r w:rsidRPr="006034E5">
        <w:rPr>
          <w:sz w:val="24"/>
          <w:szCs w:val="24"/>
        </w:rPr>
        <w:t>RESUELVE</w:t>
      </w:r>
    </w:p>
    <w:p w:rsidR="00764B55" w:rsidRDefault="00764B55" w:rsidP="00764B55">
      <w:pPr>
        <w:jc w:val="both"/>
        <w:rPr>
          <w:sz w:val="24"/>
          <w:szCs w:val="24"/>
        </w:rPr>
      </w:pPr>
    </w:p>
    <w:p w:rsidR="00A53B34" w:rsidRDefault="00A53B34" w:rsidP="00764B55">
      <w:pPr>
        <w:jc w:val="both"/>
        <w:rPr>
          <w:sz w:val="24"/>
          <w:szCs w:val="24"/>
        </w:rPr>
      </w:pPr>
    </w:p>
    <w:p w:rsidR="00654611" w:rsidRDefault="00764B55" w:rsidP="00654611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  <w:lang w:val="es-ES"/>
        </w:rPr>
        <w:t>Artículo 1º:</w:t>
      </w:r>
      <w:r>
        <w:rPr>
          <w:sz w:val="24"/>
          <w:szCs w:val="24"/>
          <w:lang w:val="es-ES"/>
        </w:rPr>
        <w:t xml:space="preserve"> </w:t>
      </w:r>
      <w:r w:rsidR="005E66A8">
        <w:rPr>
          <w:sz w:val="24"/>
          <w:szCs w:val="24"/>
          <w:lang w:val="es-ES"/>
        </w:rPr>
        <w:t xml:space="preserve">Tomar conocimiento de la Ordenanza de Consejo Superior Nº 4900 por el cual se presenta el </w:t>
      </w:r>
      <w:r w:rsidR="002933E1">
        <w:rPr>
          <w:sz w:val="24"/>
          <w:szCs w:val="24"/>
        </w:rPr>
        <w:t xml:space="preserve">Cronograma de Elecciones para la renovación de representantes Alumnos, Graduados, Docentes y </w:t>
      </w:r>
      <w:proofErr w:type="spellStart"/>
      <w:r w:rsidR="002933E1">
        <w:rPr>
          <w:sz w:val="24"/>
          <w:szCs w:val="24"/>
        </w:rPr>
        <w:t>Nodocentes</w:t>
      </w:r>
      <w:proofErr w:type="spellEnd"/>
      <w:r w:rsidR="002933E1">
        <w:rPr>
          <w:sz w:val="24"/>
          <w:szCs w:val="24"/>
        </w:rPr>
        <w:t>, de esta Facultad</w:t>
      </w:r>
      <w:r w:rsidR="0038179A">
        <w:rPr>
          <w:sz w:val="24"/>
          <w:szCs w:val="24"/>
        </w:rPr>
        <w:t xml:space="preserve">. </w:t>
      </w:r>
    </w:p>
    <w:p w:rsidR="00F5163F" w:rsidRDefault="00F5163F" w:rsidP="00157BFD">
      <w:pPr>
        <w:jc w:val="both"/>
        <w:rPr>
          <w:sz w:val="24"/>
          <w:szCs w:val="24"/>
        </w:rPr>
      </w:pPr>
    </w:p>
    <w:p w:rsidR="00AE048B" w:rsidRDefault="00764B55" w:rsidP="00EA4EEE">
      <w:pPr>
        <w:jc w:val="both"/>
        <w:rPr>
          <w:sz w:val="24"/>
          <w:szCs w:val="24"/>
        </w:rPr>
      </w:pPr>
      <w:r w:rsidRPr="006034E5">
        <w:rPr>
          <w:b/>
          <w:sz w:val="24"/>
          <w:szCs w:val="24"/>
          <w:u w:val="single"/>
        </w:rPr>
        <w:t xml:space="preserve">Artículo </w:t>
      </w:r>
      <w:r w:rsidR="00D75D14">
        <w:rPr>
          <w:b/>
          <w:sz w:val="24"/>
          <w:szCs w:val="24"/>
          <w:u w:val="single"/>
        </w:rPr>
        <w:t>2</w:t>
      </w:r>
      <w:r w:rsidRPr="006034E5">
        <w:rPr>
          <w:b/>
          <w:sz w:val="24"/>
          <w:szCs w:val="24"/>
          <w:u w:val="single"/>
        </w:rPr>
        <w:t>º:</w:t>
      </w:r>
      <w:r w:rsidRPr="006034E5">
        <w:rPr>
          <w:sz w:val="24"/>
          <w:szCs w:val="24"/>
        </w:rPr>
        <w:t xml:space="preserve"> Comuníquese, notifíquese, </w:t>
      </w:r>
      <w:proofErr w:type="spellStart"/>
      <w:r w:rsidRPr="006034E5">
        <w:rPr>
          <w:sz w:val="24"/>
          <w:szCs w:val="24"/>
        </w:rPr>
        <w:t>dése</w:t>
      </w:r>
      <w:proofErr w:type="spellEnd"/>
      <w:r w:rsidRPr="006034E5">
        <w:rPr>
          <w:sz w:val="24"/>
          <w:szCs w:val="24"/>
        </w:rPr>
        <w:t xml:space="preserve"> al registro y archívese.</w:t>
      </w:r>
      <w:bookmarkStart w:id="0" w:name="_GoBack"/>
      <w:bookmarkEnd w:id="0"/>
    </w:p>
    <w:p w:rsidR="00AE048B" w:rsidRDefault="00AE048B" w:rsidP="00EA4EEE">
      <w:pPr>
        <w:jc w:val="both"/>
        <w:rPr>
          <w:sz w:val="24"/>
          <w:szCs w:val="24"/>
        </w:rPr>
      </w:pPr>
    </w:p>
    <w:p w:rsidR="00AE048B" w:rsidRDefault="00AE048B" w:rsidP="00EA4EEE">
      <w:pPr>
        <w:jc w:val="both"/>
        <w:rPr>
          <w:sz w:val="24"/>
          <w:szCs w:val="24"/>
        </w:rPr>
      </w:pPr>
    </w:p>
    <w:p w:rsidR="00AE048B" w:rsidRDefault="00AE048B" w:rsidP="00EA4EEE">
      <w:pPr>
        <w:jc w:val="both"/>
        <w:rPr>
          <w:sz w:val="24"/>
          <w:szCs w:val="24"/>
        </w:rPr>
      </w:pPr>
    </w:p>
    <w:p w:rsidR="00AE048B" w:rsidRDefault="00AE048B" w:rsidP="00EA4EEE">
      <w:pPr>
        <w:jc w:val="both"/>
        <w:rPr>
          <w:sz w:val="24"/>
          <w:szCs w:val="24"/>
        </w:rPr>
      </w:pPr>
    </w:p>
    <w:p w:rsidR="00AE048B" w:rsidRDefault="00AE048B" w:rsidP="00EA4EEE">
      <w:pPr>
        <w:jc w:val="both"/>
        <w:rPr>
          <w:sz w:val="24"/>
          <w:szCs w:val="24"/>
        </w:rPr>
      </w:pPr>
    </w:p>
    <w:p w:rsidR="00AE048B" w:rsidRDefault="00AE048B" w:rsidP="00EA4EEE">
      <w:pPr>
        <w:jc w:val="both"/>
        <w:rPr>
          <w:b/>
          <w:sz w:val="24"/>
          <w:szCs w:val="24"/>
          <w:u w:val="single"/>
        </w:rPr>
      </w:pPr>
    </w:p>
    <w:p w:rsidR="00AE048B" w:rsidRDefault="00AE048B" w:rsidP="00EA4EEE">
      <w:pPr>
        <w:jc w:val="both"/>
        <w:rPr>
          <w:b/>
          <w:sz w:val="24"/>
          <w:szCs w:val="24"/>
          <w:u w:val="single"/>
        </w:rPr>
      </w:pPr>
    </w:p>
    <w:sectPr w:rsidR="00AE048B" w:rsidSect="009D27DC">
      <w:pgSz w:w="11907" w:h="16840"/>
      <w:pgMar w:top="851" w:right="1134" w:bottom="73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66FD"/>
    <w:multiLevelType w:val="hybridMultilevel"/>
    <w:tmpl w:val="1DF6AFEE"/>
    <w:lvl w:ilvl="0" w:tplc="D950892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06E21"/>
    <w:multiLevelType w:val="hybridMultilevel"/>
    <w:tmpl w:val="2DF4724A"/>
    <w:lvl w:ilvl="0" w:tplc="0AF01D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364AB"/>
    <w:multiLevelType w:val="hybridMultilevel"/>
    <w:tmpl w:val="43AC8A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82E8F"/>
    <w:multiLevelType w:val="hybridMultilevel"/>
    <w:tmpl w:val="3690B032"/>
    <w:lvl w:ilvl="0" w:tplc="101C3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4B55"/>
    <w:rsid w:val="00012BF4"/>
    <w:rsid w:val="00027E70"/>
    <w:rsid w:val="00040D4E"/>
    <w:rsid w:val="00061331"/>
    <w:rsid w:val="00061824"/>
    <w:rsid w:val="00062C09"/>
    <w:rsid w:val="00076B28"/>
    <w:rsid w:val="001037D7"/>
    <w:rsid w:val="0010675D"/>
    <w:rsid w:val="00157BFD"/>
    <w:rsid w:val="00186C4E"/>
    <w:rsid w:val="001A2D2D"/>
    <w:rsid w:val="001C0B79"/>
    <w:rsid w:val="001C1698"/>
    <w:rsid w:val="00203CC8"/>
    <w:rsid w:val="00216EED"/>
    <w:rsid w:val="0022013B"/>
    <w:rsid w:val="00245483"/>
    <w:rsid w:val="002501BF"/>
    <w:rsid w:val="0026223E"/>
    <w:rsid w:val="002933E1"/>
    <w:rsid w:val="00294833"/>
    <w:rsid w:val="002C11FA"/>
    <w:rsid w:val="002F5174"/>
    <w:rsid w:val="0038179A"/>
    <w:rsid w:val="003879AD"/>
    <w:rsid w:val="003F140A"/>
    <w:rsid w:val="003F2887"/>
    <w:rsid w:val="00431557"/>
    <w:rsid w:val="00444530"/>
    <w:rsid w:val="00446C6C"/>
    <w:rsid w:val="0045236E"/>
    <w:rsid w:val="004541F3"/>
    <w:rsid w:val="00460F3B"/>
    <w:rsid w:val="00467712"/>
    <w:rsid w:val="00495CED"/>
    <w:rsid w:val="004F4AC8"/>
    <w:rsid w:val="005031D6"/>
    <w:rsid w:val="00515E2C"/>
    <w:rsid w:val="00564D5E"/>
    <w:rsid w:val="005670A7"/>
    <w:rsid w:val="00567493"/>
    <w:rsid w:val="00596862"/>
    <w:rsid w:val="005A694C"/>
    <w:rsid w:val="005B5D6D"/>
    <w:rsid w:val="005C563D"/>
    <w:rsid w:val="005D2CD7"/>
    <w:rsid w:val="005E3E9E"/>
    <w:rsid w:val="005E66A8"/>
    <w:rsid w:val="00604F93"/>
    <w:rsid w:val="006363CE"/>
    <w:rsid w:val="006409A3"/>
    <w:rsid w:val="00654611"/>
    <w:rsid w:val="006564B7"/>
    <w:rsid w:val="00656978"/>
    <w:rsid w:val="00664B4B"/>
    <w:rsid w:val="006763F8"/>
    <w:rsid w:val="00686660"/>
    <w:rsid w:val="006917D7"/>
    <w:rsid w:val="006A2B30"/>
    <w:rsid w:val="0070383F"/>
    <w:rsid w:val="00716F3B"/>
    <w:rsid w:val="00764B55"/>
    <w:rsid w:val="00787893"/>
    <w:rsid w:val="00795F0C"/>
    <w:rsid w:val="007E0174"/>
    <w:rsid w:val="007F276A"/>
    <w:rsid w:val="007F4544"/>
    <w:rsid w:val="008124FD"/>
    <w:rsid w:val="00822B0D"/>
    <w:rsid w:val="00832875"/>
    <w:rsid w:val="00832E28"/>
    <w:rsid w:val="00843A11"/>
    <w:rsid w:val="00874C65"/>
    <w:rsid w:val="008947DC"/>
    <w:rsid w:val="008B6F61"/>
    <w:rsid w:val="008C79C6"/>
    <w:rsid w:val="008E4D9F"/>
    <w:rsid w:val="008F74F7"/>
    <w:rsid w:val="00901088"/>
    <w:rsid w:val="009014B0"/>
    <w:rsid w:val="00982A88"/>
    <w:rsid w:val="00996EC0"/>
    <w:rsid w:val="009D27DC"/>
    <w:rsid w:val="009D7F54"/>
    <w:rsid w:val="009E3BE7"/>
    <w:rsid w:val="00A04C51"/>
    <w:rsid w:val="00A129DE"/>
    <w:rsid w:val="00A17D07"/>
    <w:rsid w:val="00A33FA7"/>
    <w:rsid w:val="00A53B34"/>
    <w:rsid w:val="00AA1F04"/>
    <w:rsid w:val="00AB5B0C"/>
    <w:rsid w:val="00AC2BD4"/>
    <w:rsid w:val="00AC3D9D"/>
    <w:rsid w:val="00AD3065"/>
    <w:rsid w:val="00AE048B"/>
    <w:rsid w:val="00B10F46"/>
    <w:rsid w:val="00B31591"/>
    <w:rsid w:val="00B4231B"/>
    <w:rsid w:val="00B458A4"/>
    <w:rsid w:val="00B46EAD"/>
    <w:rsid w:val="00B5528F"/>
    <w:rsid w:val="00B6337D"/>
    <w:rsid w:val="00B74C1D"/>
    <w:rsid w:val="00B936B4"/>
    <w:rsid w:val="00B95267"/>
    <w:rsid w:val="00BA67EB"/>
    <w:rsid w:val="00BD6943"/>
    <w:rsid w:val="00BE1323"/>
    <w:rsid w:val="00C0349B"/>
    <w:rsid w:val="00C17CC4"/>
    <w:rsid w:val="00C628C4"/>
    <w:rsid w:val="00C826D2"/>
    <w:rsid w:val="00C84864"/>
    <w:rsid w:val="00C85C27"/>
    <w:rsid w:val="00C96244"/>
    <w:rsid w:val="00CA0BF9"/>
    <w:rsid w:val="00CA4A70"/>
    <w:rsid w:val="00CB2AC7"/>
    <w:rsid w:val="00CB5466"/>
    <w:rsid w:val="00D03C3A"/>
    <w:rsid w:val="00D36CCC"/>
    <w:rsid w:val="00D408A7"/>
    <w:rsid w:val="00D75D14"/>
    <w:rsid w:val="00D967DF"/>
    <w:rsid w:val="00DE714F"/>
    <w:rsid w:val="00E64CD9"/>
    <w:rsid w:val="00E70723"/>
    <w:rsid w:val="00EA1D8F"/>
    <w:rsid w:val="00EA4EEE"/>
    <w:rsid w:val="00EC0ED9"/>
    <w:rsid w:val="00EF1309"/>
    <w:rsid w:val="00F17EA8"/>
    <w:rsid w:val="00F21909"/>
    <w:rsid w:val="00F24CE6"/>
    <w:rsid w:val="00F30749"/>
    <w:rsid w:val="00F346D1"/>
    <w:rsid w:val="00F3488A"/>
    <w:rsid w:val="00F5163F"/>
    <w:rsid w:val="00FF0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AD089-E270-4E56-ADEE-FD60737D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64B55"/>
    <w:pPr>
      <w:keepNext/>
      <w:jc w:val="center"/>
      <w:outlineLvl w:val="0"/>
    </w:pPr>
    <w:rPr>
      <w:b/>
      <w:bCs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64B55"/>
    <w:rPr>
      <w:rFonts w:ascii="Times New Roman" w:eastAsia="Times New Roman" w:hAnsi="Times New Roman" w:cs="Times New Roman"/>
      <w:b/>
      <w:bCs/>
      <w:szCs w:val="20"/>
      <w:u w:val="single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076B28"/>
    <w:pPr>
      <w:ind w:firstLine="708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076B2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03C3A"/>
    <w:pPr>
      <w:ind w:left="720"/>
      <w:contextualSpacing/>
    </w:pPr>
  </w:style>
  <w:style w:type="table" w:styleId="Tablaconcuadrcula">
    <w:name w:val="Table Grid"/>
    <w:basedOn w:val="Tablanormal"/>
    <w:uiPriority w:val="59"/>
    <w:rsid w:val="00CB5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564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4B7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A1E0B-BE39-47CA-A207-4C6E6F7C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Sirgo</dc:creator>
  <cp:lastModifiedBy>Luciana Veronica Diaz</cp:lastModifiedBy>
  <cp:revision>10</cp:revision>
  <cp:lastPrinted>2017-10-04T12:47:00Z</cp:lastPrinted>
  <dcterms:created xsi:type="dcterms:W3CDTF">2017-10-04T11:19:00Z</dcterms:created>
  <dcterms:modified xsi:type="dcterms:W3CDTF">2019-09-24T18:07:00Z</dcterms:modified>
</cp:coreProperties>
</file>