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846" w:rsidRDefault="00BA5846" w:rsidP="00BA5846">
      <w:pPr>
        <w:rPr>
          <w:sz w:val="22"/>
          <w:szCs w:val="22"/>
        </w:rPr>
      </w:pPr>
      <w:r w:rsidRPr="00EC1285">
        <w:rPr>
          <w:noProof/>
          <w:sz w:val="24"/>
          <w:szCs w:val="24"/>
          <w:lang w:val="es-AR" w:eastAsia="es-AR"/>
        </w:rPr>
        <w:drawing>
          <wp:inline distT="0" distB="0" distL="0" distR="0">
            <wp:extent cx="1799925" cy="770021"/>
            <wp:effectExtent l="0" t="0" r="0" b="0"/>
            <wp:docPr id="2" name="Imagen 2" descr="FCH - Versión Horizontal Grises.png"/>
            <wp:cNvGraphicFramePr/>
            <a:graphic xmlns:a="http://schemas.openxmlformats.org/drawingml/2006/main">
              <a:graphicData uri="http://schemas.openxmlformats.org/drawingml/2006/picture">
                <pic:pic xmlns:pic="http://schemas.openxmlformats.org/drawingml/2006/picture">
                  <pic:nvPicPr>
                    <pic:cNvPr id="9" name="8 Imagen" descr="FCH - Versión Horizontal Grises.png"/>
                    <pic:cNvPicPr>
                      <a:picLocks noChangeAspect="1"/>
                    </pic:cNvPicPr>
                  </pic:nvPicPr>
                  <pic:blipFill>
                    <a:blip r:embed="rId7" cstate="print"/>
                    <a:stretch>
                      <a:fillRect/>
                    </a:stretch>
                  </pic:blipFill>
                  <pic:spPr>
                    <a:xfrm>
                      <a:off x="0" y="0"/>
                      <a:ext cx="1809427" cy="774086"/>
                    </a:xfrm>
                    <a:prstGeom prst="rect">
                      <a:avLst/>
                    </a:prstGeom>
                  </pic:spPr>
                </pic:pic>
              </a:graphicData>
            </a:graphic>
          </wp:inline>
        </w:drawing>
      </w:r>
    </w:p>
    <w:p w:rsidR="00BA5846" w:rsidRPr="002A600B" w:rsidRDefault="00BA5846" w:rsidP="00BA5846">
      <w:pPr>
        <w:jc w:val="right"/>
        <w:rPr>
          <w:sz w:val="22"/>
          <w:szCs w:val="22"/>
        </w:rPr>
      </w:pPr>
    </w:p>
    <w:p w:rsidR="00BA5846" w:rsidRPr="002A600B" w:rsidRDefault="00BA5846" w:rsidP="00BA5846">
      <w:pPr>
        <w:jc w:val="right"/>
        <w:rPr>
          <w:sz w:val="22"/>
          <w:szCs w:val="22"/>
        </w:rPr>
      </w:pPr>
      <w:r w:rsidRPr="002A600B">
        <w:rPr>
          <w:sz w:val="22"/>
          <w:szCs w:val="22"/>
        </w:rPr>
        <w:t xml:space="preserve">Tandil, </w:t>
      </w:r>
      <w:r w:rsidR="00F531E3">
        <w:rPr>
          <w:sz w:val="22"/>
          <w:szCs w:val="22"/>
        </w:rPr>
        <w:t>2</w:t>
      </w:r>
      <w:r w:rsidR="00C957B2">
        <w:rPr>
          <w:sz w:val="22"/>
          <w:szCs w:val="22"/>
        </w:rPr>
        <w:t>9</w:t>
      </w:r>
      <w:r>
        <w:rPr>
          <w:sz w:val="22"/>
          <w:szCs w:val="22"/>
        </w:rPr>
        <w:t xml:space="preserve"> de </w:t>
      </w:r>
      <w:r w:rsidR="00E1605E">
        <w:rPr>
          <w:sz w:val="22"/>
          <w:szCs w:val="22"/>
        </w:rPr>
        <w:t>mayo</w:t>
      </w:r>
      <w:r>
        <w:rPr>
          <w:sz w:val="22"/>
          <w:szCs w:val="22"/>
        </w:rPr>
        <w:t xml:space="preserve"> de 20</w:t>
      </w:r>
      <w:r w:rsidR="00E1605E">
        <w:rPr>
          <w:sz w:val="22"/>
          <w:szCs w:val="22"/>
        </w:rPr>
        <w:t>20</w:t>
      </w:r>
    </w:p>
    <w:p w:rsidR="00BA5846" w:rsidRPr="002A600B" w:rsidRDefault="00BA5846" w:rsidP="00BA5846">
      <w:pPr>
        <w:rPr>
          <w:b/>
          <w:sz w:val="22"/>
          <w:szCs w:val="22"/>
        </w:rPr>
      </w:pPr>
    </w:p>
    <w:p w:rsidR="00BA5846" w:rsidRPr="002A600B" w:rsidRDefault="00BA5846" w:rsidP="00BA5846">
      <w:pPr>
        <w:jc w:val="center"/>
        <w:rPr>
          <w:b/>
          <w:sz w:val="22"/>
          <w:szCs w:val="22"/>
        </w:rPr>
      </w:pPr>
      <w:r w:rsidRPr="002A600B">
        <w:rPr>
          <w:b/>
          <w:sz w:val="22"/>
          <w:szCs w:val="22"/>
        </w:rPr>
        <w:t xml:space="preserve">RESOLUCION DE </w:t>
      </w:r>
      <w:r w:rsidR="00E1605E">
        <w:rPr>
          <w:b/>
          <w:sz w:val="22"/>
          <w:szCs w:val="22"/>
        </w:rPr>
        <w:t>DECANATO</w:t>
      </w:r>
      <w:r w:rsidRPr="002A600B">
        <w:rPr>
          <w:b/>
          <w:sz w:val="22"/>
          <w:szCs w:val="22"/>
        </w:rPr>
        <w:t xml:space="preserve"> Nro. </w:t>
      </w:r>
      <w:r w:rsidR="00E1605E">
        <w:rPr>
          <w:b/>
          <w:sz w:val="22"/>
          <w:szCs w:val="22"/>
        </w:rPr>
        <w:t>1</w:t>
      </w:r>
      <w:r w:rsidR="00C957B2">
        <w:rPr>
          <w:b/>
          <w:sz w:val="22"/>
          <w:szCs w:val="22"/>
        </w:rPr>
        <w:t>40</w:t>
      </w:r>
      <w:r w:rsidR="00E1605E">
        <w:rPr>
          <w:b/>
          <w:sz w:val="22"/>
          <w:szCs w:val="22"/>
        </w:rPr>
        <w:t>/20</w:t>
      </w:r>
    </w:p>
    <w:p w:rsidR="00BA5846" w:rsidRPr="002A600B" w:rsidRDefault="00BA5846" w:rsidP="00BA5846">
      <w:pPr>
        <w:rPr>
          <w:sz w:val="22"/>
          <w:szCs w:val="22"/>
        </w:rPr>
      </w:pPr>
      <w:r w:rsidRPr="002A600B">
        <w:rPr>
          <w:b/>
          <w:sz w:val="22"/>
          <w:szCs w:val="22"/>
        </w:rPr>
        <w:t>VISTO:</w:t>
      </w:r>
    </w:p>
    <w:p w:rsidR="00BA5846" w:rsidRPr="002A600B" w:rsidRDefault="00BA5846" w:rsidP="00BA5846">
      <w:pPr>
        <w:jc w:val="both"/>
        <w:rPr>
          <w:sz w:val="22"/>
          <w:szCs w:val="22"/>
        </w:rPr>
      </w:pPr>
      <w:r w:rsidRPr="002A600B">
        <w:rPr>
          <w:sz w:val="22"/>
          <w:szCs w:val="22"/>
        </w:rPr>
        <w:tab/>
      </w:r>
      <w:r w:rsidRPr="002A600B">
        <w:rPr>
          <w:sz w:val="22"/>
          <w:szCs w:val="22"/>
        </w:rPr>
        <w:tab/>
      </w:r>
    </w:p>
    <w:p w:rsidR="006D3D7A" w:rsidRDefault="00F531E3" w:rsidP="006D3D7A">
      <w:pPr>
        <w:shd w:val="clear" w:color="auto" w:fill="FFFFFF" w:themeFill="background1"/>
        <w:ind w:firstLine="708"/>
        <w:jc w:val="both"/>
        <w:rPr>
          <w:rFonts w:eastAsia="Meiryo"/>
          <w:sz w:val="22"/>
          <w:szCs w:val="22"/>
          <w:lang w:val="es-ES" w:eastAsia="ja-JP"/>
        </w:rPr>
      </w:pPr>
      <w:r>
        <w:rPr>
          <w:rFonts w:eastAsia="Meiryo"/>
          <w:sz w:val="22"/>
          <w:szCs w:val="22"/>
          <w:lang w:val="es-ES" w:eastAsia="ja-JP"/>
        </w:rPr>
        <w:t xml:space="preserve">  </w:t>
      </w:r>
      <w:r w:rsidR="006D3D7A" w:rsidRPr="00E5090D">
        <w:rPr>
          <w:rFonts w:eastAsia="Meiryo"/>
          <w:sz w:val="22"/>
          <w:szCs w:val="22"/>
          <w:lang w:val="es-ES" w:eastAsia="ja-JP"/>
        </w:rPr>
        <w:t xml:space="preserve">El Decreto </w:t>
      </w:r>
      <w:r w:rsidRPr="006A26E8">
        <w:rPr>
          <w:rFonts w:eastAsia="Meiryo"/>
          <w:sz w:val="22"/>
          <w:szCs w:val="22"/>
          <w:lang w:val="es-ES" w:eastAsia="ja-JP"/>
        </w:rPr>
        <w:t>de Necesidad y Urgencia N° 297/2020; la Resolución 104/2020 del Ministerio de Educación de la Nación; la Resolución 5019/2020 del 16 de marzo y la Resolución 0271 del 17 de marzo referidas a la emergencia provocada por el Covid-19, las consecuentes disposiciones emanadas del Comité de Emergencia de la UNCPBA para atender las cuestiones derivadas por el Covid-19; la Resolución de Rectorado 302/20 y</w:t>
      </w:r>
      <w:r>
        <w:rPr>
          <w:rFonts w:eastAsia="Meiryo"/>
          <w:sz w:val="22"/>
          <w:szCs w:val="22"/>
          <w:lang w:val="es-ES" w:eastAsia="ja-JP"/>
        </w:rPr>
        <w:t>,</w:t>
      </w:r>
    </w:p>
    <w:p w:rsidR="006D3D7A" w:rsidRPr="00E5090D" w:rsidRDefault="006D3D7A" w:rsidP="006D3D7A">
      <w:pPr>
        <w:shd w:val="clear" w:color="auto" w:fill="FFFFFF" w:themeFill="background1"/>
        <w:ind w:firstLine="708"/>
        <w:jc w:val="both"/>
        <w:rPr>
          <w:rFonts w:eastAsia="Meiryo"/>
          <w:sz w:val="22"/>
          <w:szCs w:val="22"/>
          <w:lang w:val="es-ES" w:eastAsia="ja-JP"/>
        </w:rPr>
      </w:pPr>
    </w:p>
    <w:p w:rsidR="00BA5846" w:rsidRPr="002A600B" w:rsidRDefault="00BA5846" w:rsidP="00BA5846">
      <w:pPr>
        <w:jc w:val="both"/>
        <w:rPr>
          <w:sz w:val="22"/>
          <w:szCs w:val="22"/>
        </w:rPr>
      </w:pPr>
    </w:p>
    <w:p w:rsidR="00BA5846" w:rsidRPr="002A600B" w:rsidRDefault="00BA5846" w:rsidP="00BA5846">
      <w:pPr>
        <w:jc w:val="both"/>
        <w:rPr>
          <w:b/>
          <w:sz w:val="22"/>
          <w:szCs w:val="22"/>
        </w:rPr>
      </w:pPr>
      <w:r w:rsidRPr="002A600B">
        <w:rPr>
          <w:b/>
          <w:sz w:val="22"/>
          <w:szCs w:val="22"/>
        </w:rPr>
        <w:t>CONSIDERANDO:</w:t>
      </w:r>
    </w:p>
    <w:p w:rsidR="00BA5846" w:rsidRPr="002A600B" w:rsidRDefault="00BA5846" w:rsidP="00BA5846">
      <w:pPr>
        <w:jc w:val="both"/>
        <w:rPr>
          <w:sz w:val="22"/>
          <w:szCs w:val="22"/>
        </w:rPr>
      </w:pPr>
    </w:p>
    <w:p w:rsidR="00CF0CD4" w:rsidRPr="00716624" w:rsidRDefault="00BA5846" w:rsidP="00716624">
      <w:pPr>
        <w:pStyle w:val="Default"/>
        <w:jc w:val="both"/>
      </w:pPr>
      <w:r w:rsidRPr="002A600B">
        <w:rPr>
          <w:sz w:val="22"/>
          <w:szCs w:val="22"/>
        </w:rPr>
        <w:tab/>
        <w:t xml:space="preserve">. Que </w:t>
      </w:r>
      <w:r w:rsidR="00F531E3" w:rsidRPr="006A26E8">
        <w:rPr>
          <w:rFonts w:eastAsia="Meiryo"/>
          <w:sz w:val="22"/>
          <w:szCs w:val="22"/>
          <w:lang w:val="es-ES" w:eastAsia="ja-JP"/>
        </w:rPr>
        <w:t>por medio del mencionado DNU se ha dispuesto el aislamiento social, preventivo y obligatorio para todas las personas que habitan en el país o se encuentren en él en forma temporaria, hasta el 7 de junio inclusive del corriente año, pudiéndose prorrogar este plazo en atención a la situación epidemiológica</w:t>
      </w:r>
      <w:r w:rsidR="008C7A6B" w:rsidRPr="00716624">
        <w:rPr>
          <w:sz w:val="22"/>
          <w:szCs w:val="22"/>
        </w:rPr>
        <w:t>.</w:t>
      </w:r>
    </w:p>
    <w:p w:rsidR="00CF0CD4" w:rsidRPr="008C7A6B" w:rsidRDefault="00CF0CD4" w:rsidP="00BA5846">
      <w:pPr>
        <w:jc w:val="both"/>
        <w:rPr>
          <w:rFonts w:eastAsiaTheme="minorHAnsi"/>
          <w:color w:val="000000"/>
          <w:sz w:val="22"/>
          <w:szCs w:val="22"/>
          <w:lang w:val="es-AR" w:eastAsia="en-US"/>
        </w:rPr>
      </w:pPr>
    </w:p>
    <w:p w:rsidR="00BA5846" w:rsidRPr="00716624" w:rsidRDefault="00CF0CD4" w:rsidP="001225C3">
      <w:pPr>
        <w:pStyle w:val="Default"/>
        <w:ind w:firstLine="708"/>
        <w:jc w:val="both"/>
      </w:pPr>
      <w:r>
        <w:rPr>
          <w:sz w:val="22"/>
          <w:szCs w:val="22"/>
        </w:rPr>
        <w:t xml:space="preserve">. Que </w:t>
      </w:r>
      <w:r w:rsidR="00F531E3" w:rsidRPr="006A26E8">
        <w:rPr>
          <w:rFonts w:eastAsia="Meiryo"/>
          <w:sz w:val="22"/>
          <w:szCs w:val="22"/>
          <w:lang w:val="es-ES" w:eastAsia="ja-JP"/>
        </w:rPr>
        <w:t>en virtud de lo resuelto por el Gobierno Nacional el Comité de Emergencia de la UNCPBA ha dispuesto prorrogar la suspensión de actividades presenciales en la Universidad y requerir los ajustes que sean necesarios en los reglamentos establecidos</w:t>
      </w:r>
      <w:r w:rsidRPr="00716624">
        <w:rPr>
          <w:sz w:val="22"/>
          <w:szCs w:val="22"/>
        </w:rPr>
        <w:t xml:space="preserve">. </w:t>
      </w:r>
    </w:p>
    <w:p w:rsidR="00BA5846" w:rsidRPr="00716624" w:rsidRDefault="00BA5846" w:rsidP="00BA5846">
      <w:pPr>
        <w:jc w:val="both"/>
        <w:rPr>
          <w:rFonts w:eastAsiaTheme="minorHAnsi"/>
          <w:color w:val="000000"/>
          <w:sz w:val="22"/>
          <w:szCs w:val="22"/>
          <w:lang w:val="es-AR" w:eastAsia="en-US"/>
        </w:rPr>
      </w:pPr>
    </w:p>
    <w:p w:rsidR="00BA5846" w:rsidRDefault="00BA5846" w:rsidP="00BA5846">
      <w:pPr>
        <w:ind w:firstLine="708"/>
        <w:jc w:val="both"/>
        <w:rPr>
          <w:sz w:val="22"/>
          <w:szCs w:val="22"/>
        </w:rPr>
      </w:pPr>
      <w:r>
        <w:rPr>
          <w:sz w:val="22"/>
          <w:szCs w:val="22"/>
        </w:rPr>
        <w:t xml:space="preserve">. Que </w:t>
      </w:r>
      <w:r w:rsidR="00F531E3" w:rsidRPr="006A26E8">
        <w:rPr>
          <w:rFonts w:eastAsia="Meiryo"/>
          <w:sz w:val="22"/>
          <w:szCs w:val="22"/>
          <w:lang w:val="es-ES" w:eastAsia="ja-JP"/>
        </w:rPr>
        <w:t xml:space="preserve">consecuentemente, mediante la Resolución </w:t>
      </w:r>
      <w:r w:rsidR="00F531E3">
        <w:rPr>
          <w:rFonts w:eastAsia="Meiryo"/>
          <w:sz w:val="22"/>
          <w:szCs w:val="22"/>
          <w:lang w:val="es-ES" w:eastAsia="ja-JP"/>
        </w:rPr>
        <w:t xml:space="preserve">de </w:t>
      </w:r>
      <w:r w:rsidR="00F531E3" w:rsidRPr="006A26E8">
        <w:rPr>
          <w:rFonts w:eastAsia="Meiryo"/>
          <w:sz w:val="22"/>
          <w:szCs w:val="22"/>
          <w:lang w:val="es-ES" w:eastAsia="ja-JP"/>
        </w:rPr>
        <w:t>R</w:t>
      </w:r>
      <w:r w:rsidR="00F531E3">
        <w:rPr>
          <w:rFonts w:eastAsia="Meiryo"/>
          <w:sz w:val="22"/>
          <w:szCs w:val="22"/>
          <w:lang w:val="es-ES" w:eastAsia="ja-JP"/>
        </w:rPr>
        <w:t>ectorado N°</w:t>
      </w:r>
      <w:r w:rsidR="00F531E3" w:rsidRPr="006A26E8">
        <w:rPr>
          <w:rFonts w:eastAsia="Meiryo"/>
          <w:sz w:val="22"/>
          <w:szCs w:val="22"/>
          <w:lang w:val="es-ES" w:eastAsia="ja-JP"/>
        </w:rPr>
        <w:t>172/2020 se eximió del deber de asistencia al lugar de trabajo a todo el personal docente, permanente o contratado, manteniéndose la obligación de realizar su tarea habitual u otra análoga desde su domicilio, cuando sea posible</w:t>
      </w:r>
      <w:r>
        <w:rPr>
          <w:sz w:val="22"/>
          <w:szCs w:val="22"/>
        </w:rPr>
        <w:t>.</w:t>
      </w:r>
    </w:p>
    <w:p w:rsidR="00E1605E" w:rsidRDefault="00E1605E" w:rsidP="00BA5846">
      <w:pPr>
        <w:ind w:firstLine="708"/>
        <w:jc w:val="both"/>
        <w:rPr>
          <w:sz w:val="22"/>
          <w:szCs w:val="22"/>
        </w:rPr>
      </w:pPr>
    </w:p>
    <w:p w:rsidR="00E1605E" w:rsidRDefault="00E1605E" w:rsidP="00BA5846">
      <w:pPr>
        <w:ind w:firstLine="708"/>
        <w:jc w:val="both"/>
        <w:rPr>
          <w:sz w:val="22"/>
          <w:szCs w:val="22"/>
        </w:rPr>
      </w:pPr>
      <w:r w:rsidRPr="00440582">
        <w:rPr>
          <w:sz w:val="22"/>
          <w:szCs w:val="22"/>
        </w:rPr>
        <w:t xml:space="preserve">. </w:t>
      </w:r>
      <w:r w:rsidRPr="000A4FD9">
        <w:rPr>
          <w:sz w:val="22"/>
          <w:szCs w:val="22"/>
        </w:rPr>
        <w:t>Que</w:t>
      </w:r>
      <w:r w:rsidR="00F531E3">
        <w:rPr>
          <w:sz w:val="22"/>
          <w:szCs w:val="22"/>
        </w:rPr>
        <w:t xml:space="preserve"> </w:t>
      </w:r>
      <w:r w:rsidR="00F531E3" w:rsidRPr="006A26E8">
        <w:rPr>
          <w:rFonts w:eastAsia="Meiryo"/>
          <w:sz w:val="22"/>
          <w:szCs w:val="22"/>
          <w:lang w:val="es-ES" w:eastAsia="ja-JP"/>
        </w:rPr>
        <w:t>el Ministerio de Educación de la Nación recomendó a las Universidades que deberán adoptarse las medidas necesarias procurando garantizar el desarrollo del calendario académico (art. 1º, Res. 104/20)</w:t>
      </w:r>
      <w:r w:rsidR="004829C3">
        <w:rPr>
          <w:rFonts w:eastAsia="Meiryo"/>
          <w:sz w:val="22"/>
          <w:szCs w:val="22"/>
          <w:lang w:val="es-ES" w:eastAsia="ja-JP"/>
        </w:rPr>
        <w:t>.</w:t>
      </w:r>
    </w:p>
    <w:p w:rsidR="00BA5846" w:rsidRDefault="00BA5846" w:rsidP="00BA5846">
      <w:pPr>
        <w:ind w:firstLine="708"/>
        <w:jc w:val="both"/>
        <w:rPr>
          <w:sz w:val="22"/>
          <w:szCs w:val="22"/>
        </w:rPr>
      </w:pPr>
      <w:r>
        <w:rPr>
          <w:sz w:val="22"/>
          <w:szCs w:val="22"/>
        </w:rPr>
        <w:t xml:space="preserve">  </w:t>
      </w:r>
    </w:p>
    <w:p w:rsidR="00F531E3" w:rsidRDefault="00F531E3" w:rsidP="00BA5846">
      <w:pPr>
        <w:ind w:firstLine="708"/>
        <w:jc w:val="both"/>
        <w:rPr>
          <w:sz w:val="22"/>
          <w:szCs w:val="22"/>
        </w:rPr>
      </w:pPr>
      <w:r w:rsidRPr="00440582">
        <w:rPr>
          <w:sz w:val="22"/>
          <w:szCs w:val="22"/>
        </w:rPr>
        <w:t xml:space="preserve">. </w:t>
      </w:r>
      <w:r w:rsidRPr="000A4FD9">
        <w:rPr>
          <w:sz w:val="22"/>
          <w:szCs w:val="22"/>
        </w:rPr>
        <w:t>Que</w:t>
      </w:r>
      <w:r>
        <w:rPr>
          <w:sz w:val="22"/>
          <w:szCs w:val="22"/>
        </w:rPr>
        <w:t xml:space="preserve"> </w:t>
      </w:r>
      <w:r w:rsidRPr="006A26E8">
        <w:rPr>
          <w:rFonts w:eastAsia="Meiryo"/>
          <w:sz w:val="22"/>
          <w:szCs w:val="22"/>
          <w:lang w:val="es-ES" w:eastAsia="ja-JP"/>
        </w:rPr>
        <w:t>la R</w:t>
      </w:r>
      <w:r>
        <w:rPr>
          <w:rFonts w:eastAsia="Meiryo"/>
          <w:sz w:val="22"/>
          <w:szCs w:val="22"/>
          <w:lang w:val="es-ES" w:eastAsia="ja-JP"/>
        </w:rPr>
        <w:t xml:space="preserve">esolución de </w:t>
      </w:r>
      <w:r w:rsidRPr="006A26E8">
        <w:rPr>
          <w:rFonts w:eastAsia="Meiryo"/>
          <w:sz w:val="22"/>
          <w:szCs w:val="22"/>
          <w:lang w:val="es-ES" w:eastAsia="ja-JP"/>
        </w:rPr>
        <w:t>R</w:t>
      </w:r>
      <w:r>
        <w:rPr>
          <w:rFonts w:eastAsia="Meiryo"/>
          <w:sz w:val="22"/>
          <w:szCs w:val="22"/>
          <w:lang w:val="es-ES" w:eastAsia="ja-JP"/>
        </w:rPr>
        <w:t>ectorado N°</w:t>
      </w:r>
      <w:r w:rsidRPr="006A26E8">
        <w:rPr>
          <w:rFonts w:eastAsia="Meiryo"/>
          <w:sz w:val="22"/>
          <w:szCs w:val="22"/>
          <w:lang w:val="es-ES" w:eastAsia="ja-JP"/>
        </w:rPr>
        <w:t>302/20 en su artículo 3 establece: Ante la excepcionalidad de la situación y a fin de concentrar los esfuerzos en garantizar la calidad de las actividades académicas, suspender las evaluaciones finales de cursos, de trabajos finales de carrera y de tesis de posgrado y facultar asimismo a cada Unidad Académica a llevar a cabo las mismas cuando existan probadas razones de necesidad y urgencia y durante el período enunciado</w:t>
      </w:r>
      <w:r>
        <w:rPr>
          <w:rFonts w:eastAsia="Meiryo"/>
          <w:sz w:val="22"/>
          <w:szCs w:val="22"/>
          <w:lang w:val="es-ES" w:eastAsia="ja-JP"/>
        </w:rPr>
        <w:t>.</w:t>
      </w:r>
    </w:p>
    <w:p w:rsidR="00F531E3" w:rsidRDefault="00F531E3" w:rsidP="00BA5846">
      <w:pPr>
        <w:ind w:firstLine="708"/>
        <w:jc w:val="both"/>
        <w:rPr>
          <w:sz w:val="22"/>
          <w:szCs w:val="22"/>
        </w:rPr>
      </w:pPr>
    </w:p>
    <w:p w:rsidR="00F531E3" w:rsidRDefault="00F531E3" w:rsidP="00BA5846">
      <w:pPr>
        <w:ind w:firstLine="708"/>
        <w:jc w:val="both"/>
        <w:rPr>
          <w:sz w:val="22"/>
          <w:szCs w:val="22"/>
        </w:rPr>
      </w:pPr>
      <w:r w:rsidRPr="00440582">
        <w:rPr>
          <w:sz w:val="22"/>
          <w:szCs w:val="22"/>
        </w:rPr>
        <w:t xml:space="preserve">. </w:t>
      </w:r>
      <w:r w:rsidRPr="000A4FD9">
        <w:rPr>
          <w:sz w:val="22"/>
          <w:szCs w:val="22"/>
        </w:rPr>
        <w:t>Que</w:t>
      </w:r>
      <w:r>
        <w:rPr>
          <w:sz w:val="22"/>
          <w:szCs w:val="22"/>
        </w:rPr>
        <w:t xml:space="preserve"> </w:t>
      </w:r>
      <w:r w:rsidRPr="006A26E8">
        <w:rPr>
          <w:rFonts w:eastAsia="Meiryo"/>
          <w:sz w:val="22"/>
          <w:szCs w:val="22"/>
          <w:lang w:val="es-ES" w:eastAsia="ja-JP"/>
        </w:rPr>
        <w:t>la sustanciación de tesis de está normada el Reglamentos de la F</w:t>
      </w:r>
      <w:r>
        <w:rPr>
          <w:rFonts w:eastAsia="Meiryo"/>
          <w:sz w:val="22"/>
          <w:szCs w:val="22"/>
          <w:lang w:val="es-ES" w:eastAsia="ja-JP"/>
        </w:rPr>
        <w:t xml:space="preserve">acultad de </w:t>
      </w:r>
      <w:r w:rsidRPr="006A26E8">
        <w:rPr>
          <w:rFonts w:eastAsia="Meiryo"/>
          <w:sz w:val="22"/>
          <w:szCs w:val="22"/>
          <w:lang w:val="es-ES" w:eastAsia="ja-JP"/>
        </w:rPr>
        <w:t>C</w:t>
      </w:r>
      <w:r>
        <w:rPr>
          <w:rFonts w:eastAsia="Meiryo"/>
          <w:sz w:val="22"/>
          <w:szCs w:val="22"/>
          <w:lang w:val="es-ES" w:eastAsia="ja-JP"/>
        </w:rPr>
        <w:t xml:space="preserve">iencias </w:t>
      </w:r>
      <w:r w:rsidRPr="006A26E8">
        <w:rPr>
          <w:rFonts w:eastAsia="Meiryo"/>
          <w:sz w:val="22"/>
          <w:szCs w:val="22"/>
          <w:lang w:val="es-ES" w:eastAsia="ja-JP"/>
        </w:rPr>
        <w:t>H</w:t>
      </w:r>
      <w:r>
        <w:rPr>
          <w:rFonts w:eastAsia="Meiryo"/>
          <w:sz w:val="22"/>
          <w:szCs w:val="22"/>
          <w:lang w:val="es-ES" w:eastAsia="ja-JP"/>
        </w:rPr>
        <w:t xml:space="preserve">umanas </w:t>
      </w:r>
      <w:r w:rsidRPr="006A26E8">
        <w:rPr>
          <w:rFonts w:eastAsia="Meiryo"/>
          <w:sz w:val="22"/>
          <w:szCs w:val="22"/>
          <w:lang w:val="es-ES" w:eastAsia="ja-JP"/>
        </w:rPr>
        <w:t>donde no se contempla la alternativa de llevar a cabo los procesos previos su entrega, la entrega y defensa de la misma de manera virtual</w:t>
      </w:r>
      <w:r>
        <w:rPr>
          <w:rFonts w:eastAsia="Meiryo"/>
          <w:sz w:val="22"/>
          <w:szCs w:val="22"/>
          <w:lang w:val="es-ES" w:eastAsia="ja-JP"/>
        </w:rPr>
        <w:t>.</w:t>
      </w:r>
    </w:p>
    <w:p w:rsidR="00F531E3" w:rsidRDefault="00F531E3" w:rsidP="00BA5846">
      <w:pPr>
        <w:ind w:firstLine="708"/>
        <w:jc w:val="both"/>
        <w:rPr>
          <w:sz w:val="22"/>
          <w:szCs w:val="22"/>
        </w:rPr>
      </w:pPr>
    </w:p>
    <w:p w:rsidR="00F531E3" w:rsidRDefault="00F531E3" w:rsidP="00F531E3">
      <w:pPr>
        <w:shd w:val="clear" w:color="auto" w:fill="FFFFFF" w:themeFill="background1"/>
        <w:ind w:firstLine="708"/>
        <w:jc w:val="both"/>
        <w:rPr>
          <w:rFonts w:eastAsia="Meiryo"/>
          <w:sz w:val="22"/>
          <w:szCs w:val="22"/>
          <w:lang w:val="es-ES" w:eastAsia="ja-JP"/>
        </w:rPr>
      </w:pPr>
      <w:r w:rsidRPr="00440582">
        <w:rPr>
          <w:sz w:val="22"/>
          <w:szCs w:val="22"/>
        </w:rPr>
        <w:t xml:space="preserve">. </w:t>
      </w:r>
      <w:r w:rsidRPr="000A4FD9">
        <w:rPr>
          <w:sz w:val="22"/>
          <w:szCs w:val="22"/>
        </w:rPr>
        <w:t>Que</w:t>
      </w:r>
      <w:r>
        <w:rPr>
          <w:sz w:val="22"/>
          <w:szCs w:val="22"/>
        </w:rPr>
        <w:t xml:space="preserve"> </w:t>
      </w:r>
      <w:r w:rsidRPr="006A26E8">
        <w:rPr>
          <w:rFonts w:eastAsia="Meiryo"/>
          <w:sz w:val="22"/>
          <w:szCs w:val="22"/>
          <w:lang w:val="es-ES" w:eastAsia="ja-JP"/>
        </w:rPr>
        <w:t>por lo expuesto es necesario establecer las pautas para dichos procedimientos para garantizar los actos académicos en torno a las tesis de grado y postgrado.</w:t>
      </w:r>
    </w:p>
    <w:p w:rsidR="00F531E3" w:rsidRPr="006A26E8" w:rsidRDefault="00F531E3" w:rsidP="00F531E3">
      <w:pPr>
        <w:shd w:val="clear" w:color="auto" w:fill="FFFFFF" w:themeFill="background1"/>
        <w:ind w:firstLine="708"/>
        <w:jc w:val="both"/>
        <w:rPr>
          <w:rFonts w:eastAsia="Meiryo"/>
          <w:sz w:val="22"/>
          <w:szCs w:val="22"/>
          <w:lang w:val="es-ES" w:eastAsia="ja-JP"/>
        </w:rPr>
      </w:pPr>
    </w:p>
    <w:p w:rsidR="006D3D7A" w:rsidRPr="002A600B" w:rsidRDefault="006D3D7A" w:rsidP="006D3D7A">
      <w:pPr>
        <w:rPr>
          <w:sz w:val="22"/>
          <w:szCs w:val="22"/>
        </w:rPr>
      </w:pPr>
      <w:r w:rsidRPr="006D3D7A">
        <w:rPr>
          <w:noProof/>
          <w:sz w:val="22"/>
          <w:szCs w:val="22"/>
          <w:lang w:val="es-AR" w:eastAsia="es-AR"/>
        </w:rPr>
        <w:lastRenderedPageBreak/>
        <w:drawing>
          <wp:inline distT="0" distB="0" distL="0" distR="0">
            <wp:extent cx="1934678" cy="924025"/>
            <wp:effectExtent l="0" t="0" r="0" b="0"/>
            <wp:docPr id="3" name="Imagen 2" descr="FCH - Versión Horizontal Grises.png"/>
            <wp:cNvGraphicFramePr/>
            <a:graphic xmlns:a="http://schemas.openxmlformats.org/drawingml/2006/main">
              <a:graphicData uri="http://schemas.openxmlformats.org/drawingml/2006/picture">
                <pic:pic xmlns:pic="http://schemas.openxmlformats.org/drawingml/2006/picture">
                  <pic:nvPicPr>
                    <pic:cNvPr id="9" name="8 Imagen" descr="FCH - Versión Horizontal Grises.png"/>
                    <pic:cNvPicPr>
                      <a:picLocks noChangeAspect="1"/>
                    </pic:cNvPicPr>
                  </pic:nvPicPr>
                  <pic:blipFill>
                    <a:blip r:embed="rId8" cstate="print"/>
                    <a:stretch>
                      <a:fillRect/>
                    </a:stretch>
                  </pic:blipFill>
                  <pic:spPr>
                    <a:xfrm>
                      <a:off x="0" y="0"/>
                      <a:ext cx="1940777" cy="926938"/>
                    </a:xfrm>
                    <a:prstGeom prst="rect">
                      <a:avLst/>
                    </a:prstGeom>
                  </pic:spPr>
                </pic:pic>
              </a:graphicData>
            </a:graphic>
          </wp:inline>
        </w:drawing>
      </w:r>
    </w:p>
    <w:p w:rsidR="00E1605E" w:rsidRPr="00440582" w:rsidRDefault="00E1605E" w:rsidP="00E1605E">
      <w:pPr>
        <w:ind w:firstLine="708"/>
        <w:jc w:val="both"/>
        <w:rPr>
          <w:sz w:val="22"/>
          <w:szCs w:val="22"/>
        </w:rPr>
      </w:pPr>
      <w:r w:rsidRPr="00440582">
        <w:rPr>
          <w:sz w:val="22"/>
          <w:szCs w:val="22"/>
        </w:rPr>
        <w:t xml:space="preserve">Por ello, en uso de las atribuciones conferidas por el artículo 41º inc. f) del Estatuto de la Universidad, aprobado por Resolución Ministerial Nro. 2672/84 y modificado por la H. Asamblea Universitaria; </w:t>
      </w:r>
    </w:p>
    <w:p w:rsidR="00E1605E" w:rsidRPr="00440582" w:rsidRDefault="00E1605E" w:rsidP="00E1605E">
      <w:pPr>
        <w:jc w:val="both"/>
        <w:rPr>
          <w:sz w:val="22"/>
          <w:szCs w:val="22"/>
        </w:rPr>
      </w:pPr>
    </w:p>
    <w:p w:rsidR="00E1605E" w:rsidRPr="00440582" w:rsidRDefault="00E1605E" w:rsidP="00E1605E">
      <w:pPr>
        <w:jc w:val="center"/>
        <w:rPr>
          <w:b/>
          <w:sz w:val="22"/>
          <w:szCs w:val="22"/>
        </w:rPr>
      </w:pPr>
      <w:r w:rsidRPr="00440582">
        <w:rPr>
          <w:b/>
          <w:sz w:val="22"/>
          <w:szCs w:val="22"/>
        </w:rPr>
        <w:t>EL DECANATO DE LA FACULTAD DE CIENCIAS HUMANAS DE LA UNIVERSIDAD NACIONAL DEL CENTRO DE LA PROVINCIA DE BUENOS AIRES</w:t>
      </w:r>
    </w:p>
    <w:p w:rsidR="00E1605E" w:rsidRPr="00440582" w:rsidRDefault="00E1605E" w:rsidP="00E1605E">
      <w:pPr>
        <w:jc w:val="center"/>
        <w:rPr>
          <w:b/>
          <w:sz w:val="22"/>
          <w:szCs w:val="22"/>
        </w:rPr>
      </w:pPr>
    </w:p>
    <w:p w:rsidR="00E1605E" w:rsidRPr="00440582" w:rsidRDefault="00E1605E" w:rsidP="00E1605E">
      <w:pPr>
        <w:jc w:val="center"/>
        <w:rPr>
          <w:b/>
          <w:sz w:val="22"/>
          <w:szCs w:val="22"/>
        </w:rPr>
      </w:pPr>
      <w:r w:rsidRPr="00440582">
        <w:rPr>
          <w:b/>
          <w:sz w:val="22"/>
          <w:szCs w:val="22"/>
        </w:rPr>
        <w:t>Ad Referéndum del  Consejo Académico</w:t>
      </w:r>
    </w:p>
    <w:p w:rsidR="00E1605E" w:rsidRPr="00440582" w:rsidRDefault="00E1605E" w:rsidP="00E1605E">
      <w:pPr>
        <w:jc w:val="center"/>
        <w:rPr>
          <w:b/>
          <w:sz w:val="22"/>
          <w:szCs w:val="22"/>
        </w:rPr>
      </w:pPr>
    </w:p>
    <w:p w:rsidR="00E1605E" w:rsidRPr="00440582" w:rsidRDefault="00E1605E" w:rsidP="00E1605E">
      <w:pPr>
        <w:jc w:val="center"/>
        <w:rPr>
          <w:b/>
          <w:sz w:val="22"/>
          <w:szCs w:val="22"/>
        </w:rPr>
      </w:pPr>
      <w:r w:rsidRPr="00440582">
        <w:rPr>
          <w:b/>
          <w:sz w:val="22"/>
          <w:szCs w:val="22"/>
        </w:rPr>
        <w:t>RESUELVE</w:t>
      </w:r>
    </w:p>
    <w:p w:rsidR="00BA5846" w:rsidRDefault="00BA5846" w:rsidP="00E1605E">
      <w:pPr>
        <w:jc w:val="both"/>
        <w:rPr>
          <w:sz w:val="22"/>
          <w:szCs w:val="22"/>
        </w:rPr>
      </w:pPr>
    </w:p>
    <w:p w:rsidR="00CD134F" w:rsidRDefault="00BA5846" w:rsidP="006D3D7A">
      <w:pPr>
        <w:shd w:val="clear" w:color="auto" w:fill="FFFFFF" w:themeFill="background1"/>
        <w:spacing w:after="160" w:line="259" w:lineRule="auto"/>
        <w:jc w:val="both"/>
        <w:rPr>
          <w:rFonts w:eastAsia="Meiryo"/>
          <w:sz w:val="22"/>
          <w:szCs w:val="22"/>
          <w:lang w:val="es-ES" w:eastAsia="ja-JP"/>
        </w:rPr>
      </w:pPr>
      <w:r w:rsidRPr="006D3D7A">
        <w:rPr>
          <w:b/>
          <w:sz w:val="22"/>
          <w:szCs w:val="22"/>
          <w:u w:val="single"/>
        </w:rPr>
        <w:t>Artículo 1º:</w:t>
      </w:r>
      <w:r w:rsidR="00CD134F">
        <w:rPr>
          <w:b/>
          <w:sz w:val="22"/>
          <w:szCs w:val="22"/>
          <w:u w:val="single"/>
        </w:rPr>
        <w:t xml:space="preserve"> </w:t>
      </w:r>
      <w:r w:rsidR="00CD134F" w:rsidRPr="006A26E8">
        <w:rPr>
          <w:rFonts w:eastAsia="Meiryo"/>
          <w:sz w:val="22"/>
          <w:szCs w:val="22"/>
          <w:lang w:val="es-ES" w:eastAsia="ja-JP"/>
        </w:rPr>
        <w:t>Autorizar la sustanciación de defensas de tesis de grado y postgrado que lo requieran bajo la modalidad no presencial</w:t>
      </w:r>
      <w:r w:rsidR="00CD134F">
        <w:rPr>
          <w:rFonts w:eastAsia="Meiryo"/>
          <w:sz w:val="22"/>
          <w:szCs w:val="22"/>
          <w:lang w:val="es-ES" w:eastAsia="ja-JP"/>
        </w:rPr>
        <w:t>.</w:t>
      </w:r>
    </w:p>
    <w:p w:rsidR="00CD134F" w:rsidRPr="00CD134F" w:rsidRDefault="00CD134F" w:rsidP="006D3D7A">
      <w:pPr>
        <w:shd w:val="clear" w:color="auto" w:fill="FFFFFF" w:themeFill="background1"/>
        <w:spacing w:after="160" w:line="259" w:lineRule="auto"/>
        <w:jc w:val="both"/>
        <w:rPr>
          <w:rFonts w:eastAsia="Meiryo"/>
          <w:sz w:val="22"/>
          <w:szCs w:val="22"/>
          <w:lang w:val="es-ES" w:eastAsia="ja-JP"/>
        </w:rPr>
      </w:pPr>
      <w:r>
        <w:rPr>
          <w:b/>
          <w:sz w:val="22"/>
          <w:szCs w:val="22"/>
          <w:u w:val="single"/>
        </w:rPr>
        <w:t>Artículo 2</w:t>
      </w:r>
      <w:r w:rsidRPr="002A600B">
        <w:rPr>
          <w:b/>
          <w:sz w:val="22"/>
          <w:szCs w:val="22"/>
          <w:u w:val="single"/>
        </w:rPr>
        <w:t>º</w:t>
      </w:r>
      <w:r w:rsidRPr="002A600B">
        <w:rPr>
          <w:sz w:val="22"/>
          <w:szCs w:val="22"/>
        </w:rPr>
        <w:t xml:space="preserve">: </w:t>
      </w:r>
      <w:r w:rsidRPr="006A26E8">
        <w:rPr>
          <w:rFonts w:eastAsia="Meiryo"/>
          <w:sz w:val="22"/>
          <w:szCs w:val="22"/>
          <w:lang w:val="es-ES" w:eastAsia="ja-JP"/>
        </w:rPr>
        <w:t>Adoptar las pautas de procedimiento establecidas en el ANEXO 1 de la presente resolución a fin de garantizar todos los actos académicos respectivos a las tesis  de grado y postgrado en la F</w:t>
      </w:r>
      <w:r>
        <w:rPr>
          <w:rFonts w:eastAsia="Meiryo"/>
          <w:sz w:val="22"/>
          <w:szCs w:val="22"/>
          <w:lang w:val="es-ES" w:eastAsia="ja-JP"/>
        </w:rPr>
        <w:t xml:space="preserve">acultad de </w:t>
      </w:r>
      <w:r w:rsidRPr="006A26E8">
        <w:rPr>
          <w:rFonts w:eastAsia="Meiryo"/>
          <w:sz w:val="22"/>
          <w:szCs w:val="22"/>
          <w:lang w:val="es-ES" w:eastAsia="ja-JP"/>
        </w:rPr>
        <w:t>C</w:t>
      </w:r>
      <w:r>
        <w:rPr>
          <w:rFonts w:eastAsia="Meiryo"/>
          <w:sz w:val="22"/>
          <w:szCs w:val="22"/>
          <w:lang w:val="es-ES" w:eastAsia="ja-JP"/>
        </w:rPr>
        <w:t xml:space="preserve">iencias </w:t>
      </w:r>
      <w:r w:rsidRPr="006A26E8">
        <w:rPr>
          <w:rFonts w:eastAsia="Meiryo"/>
          <w:sz w:val="22"/>
          <w:szCs w:val="22"/>
          <w:lang w:val="es-ES" w:eastAsia="ja-JP"/>
        </w:rPr>
        <w:t>H</w:t>
      </w:r>
      <w:r>
        <w:rPr>
          <w:rFonts w:eastAsia="Meiryo"/>
          <w:sz w:val="22"/>
          <w:szCs w:val="22"/>
          <w:lang w:val="es-ES" w:eastAsia="ja-JP"/>
        </w:rPr>
        <w:t>umanas</w:t>
      </w:r>
      <w:r w:rsidRPr="006A26E8">
        <w:rPr>
          <w:rFonts w:eastAsia="Meiryo"/>
          <w:sz w:val="22"/>
          <w:szCs w:val="22"/>
          <w:lang w:val="es-ES" w:eastAsia="ja-JP"/>
        </w:rPr>
        <w:t xml:space="preserve"> en el marco del Plan de Contingencia</w:t>
      </w:r>
      <w:r>
        <w:rPr>
          <w:rFonts w:eastAsia="Meiryo"/>
          <w:sz w:val="22"/>
          <w:szCs w:val="22"/>
          <w:lang w:val="es-ES" w:eastAsia="ja-JP"/>
        </w:rPr>
        <w:t>.</w:t>
      </w:r>
    </w:p>
    <w:p w:rsidR="00CD134F" w:rsidRDefault="00CD134F" w:rsidP="004829C3">
      <w:pPr>
        <w:jc w:val="both"/>
        <w:rPr>
          <w:sz w:val="22"/>
          <w:szCs w:val="22"/>
        </w:rPr>
      </w:pPr>
      <w:r>
        <w:rPr>
          <w:b/>
          <w:sz w:val="22"/>
          <w:szCs w:val="22"/>
          <w:u w:val="single"/>
        </w:rPr>
        <w:t>Artículo 3</w:t>
      </w:r>
      <w:r w:rsidR="00BA5846" w:rsidRPr="002A600B">
        <w:rPr>
          <w:b/>
          <w:sz w:val="22"/>
          <w:szCs w:val="22"/>
          <w:u w:val="single"/>
        </w:rPr>
        <w:t>º</w:t>
      </w:r>
      <w:r w:rsidR="00BA5846" w:rsidRPr="002A600B">
        <w:rPr>
          <w:sz w:val="22"/>
          <w:szCs w:val="22"/>
        </w:rPr>
        <w:t xml:space="preserve">: </w:t>
      </w:r>
      <w:r w:rsidR="004829C3" w:rsidRPr="002A600B">
        <w:rPr>
          <w:sz w:val="22"/>
          <w:szCs w:val="22"/>
        </w:rPr>
        <w:t xml:space="preserve">Comuníquese, notifíquese, </w:t>
      </w:r>
      <w:proofErr w:type="spellStart"/>
      <w:r w:rsidR="004829C3" w:rsidRPr="002A600B">
        <w:rPr>
          <w:sz w:val="22"/>
          <w:szCs w:val="22"/>
        </w:rPr>
        <w:t>dé</w:t>
      </w:r>
      <w:bookmarkStart w:id="0" w:name="_GoBack"/>
      <w:bookmarkEnd w:id="0"/>
      <w:r w:rsidR="004829C3" w:rsidRPr="002A600B">
        <w:rPr>
          <w:sz w:val="22"/>
          <w:szCs w:val="22"/>
        </w:rPr>
        <w:t>se</w:t>
      </w:r>
      <w:proofErr w:type="spellEnd"/>
      <w:r w:rsidR="004829C3" w:rsidRPr="002A600B">
        <w:rPr>
          <w:sz w:val="22"/>
          <w:szCs w:val="22"/>
        </w:rPr>
        <w:t xml:space="preserve"> al registro y archívese</w:t>
      </w:r>
      <w:r w:rsidR="004829C3">
        <w:rPr>
          <w:sz w:val="22"/>
          <w:szCs w:val="22"/>
        </w:rPr>
        <w:t>.</w:t>
      </w:r>
    </w:p>
    <w:p w:rsidR="00CD134F" w:rsidRDefault="00CD134F">
      <w:pPr>
        <w:spacing w:after="160" w:line="259" w:lineRule="auto"/>
        <w:rPr>
          <w:sz w:val="22"/>
          <w:szCs w:val="22"/>
        </w:rPr>
      </w:pPr>
      <w:r>
        <w:rPr>
          <w:sz w:val="22"/>
          <w:szCs w:val="22"/>
        </w:rPr>
        <w:br w:type="page"/>
      </w:r>
    </w:p>
    <w:p w:rsidR="00CD134F" w:rsidRDefault="00CD134F" w:rsidP="001C35AC">
      <w:pPr>
        <w:jc w:val="both"/>
        <w:rPr>
          <w:b/>
          <w:sz w:val="22"/>
          <w:szCs w:val="22"/>
          <w:u w:val="single"/>
        </w:rPr>
      </w:pPr>
      <w:r w:rsidRPr="00CD134F">
        <w:rPr>
          <w:noProof/>
          <w:sz w:val="22"/>
          <w:szCs w:val="22"/>
          <w:lang w:val="es-AR" w:eastAsia="es-AR"/>
        </w:rPr>
        <w:lastRenderedPageBreak/>
        <w:drawing>
          <wp:inline distT="0" distB="0" distL="0" distR="0">
            <wp:extent cx="1934678" cy="981777"/>
            <wp:effectExtent l="0" t="0" r="0" b="0"/>
            <wp:docPr id="1" name="Imagen 2" descr="FCH - Versión Horizontal Grises.png"/>
            <wp:cNvGraphicFramePr/>
            <a:graphic xmlns:a="http://schemas.openxmlformats.org/drawingml/2006/main">
              <a:graphicData uri="http://schemas.openxmlformats.org/drawingml/2006/picture">
                <pic:pic xmlns:pic="http://schemas.openxmlformats.org/drawingml/2006/picture">
                  <pic:nvPicPr>
                    <pic:cNvPr id="9" name="8 Imagen" descr="FCH - Versión Horizontal Grises.png"/>
                    <pic:cNvPicPr>
                      <a:picLocks noChangeAspect="1"/>
                    </pic:cNvPicPr>
                  </pic:nvPicPr>
                  <pic:blipFill>
                    <a:blip r:embed="rId8" cstate="print"/>
                    <a:stretch>
                      <a:fillRect/>
                    </a:stretch>
                  </pic:blipFill>
                  <pic:spPr>
                    <a:xfrm>
                      <a:off x="0" y="0"/>
                      <a:ext cx="1940776" cy="984872"/>
                    </a:xfrm>
                    <a:prstGeom prst="rect">
                      <a:avLst/>
                    </a:prstGeom>
                  </pic:spPr>
                </pic:pic>
              </a:graphicData>
            </a:graphic>
          </wp:inline>
        </w:drawing>
      </w:r>
    </w:p>
    <w:p w:rsidR="001C35AC" w:rsidRPr="001C35AC" w:rsidRDefault="001C35AC" w:rsidP="001C35AC">
      <w:pPr>
        <w:jc w:val="both"/>
        <w:rPr>
          <w:b/>
          <w:sz w:val="22"/>
          <w:szCs w:val="22"/>
        </w:rPr>
      </w:pPr>
      <w:r w:rsidRPr="001C35AC">
        <w:rPr>
          <w:b/>
          <w:sz w:val="22"/>
          <w:szCs w:val="22"/>
          <w:u w:val="single"/>
        </w:rPr>
        <w:t>ANEXO I:</w:t>
      </w:r>
      <w:r w:rsidRPr="001C35AC">
        <w:rPr>
          <w:b/>
          <w:sz w:val="22"/>
          <w:szCs w:val="22"/>
        </w:rPr>
        <w:t xml:space="preserve"> </w:t>
      </w:r>
      <w:r w:rsidRPr="001C35AC">
        <w:rPr>
          <w:sz w:val="22"/>
          <w:szCs w:val="22"/>
        </w:rPr>
        <w:t>Resolución de Decanato Nº 1</w:t>
      </w:r>
      <w:r w:rsidR="00CD134F">
        <w:rPr>
          <w:sz w:val="22"/>
          <w:szCs w:val="22"/>
        </w:rPr>
        <w:t>36</w:t>
      </w:r>
      <w:r w:rsidRPr="001C35AC">
        <w:rPr>
          <w:sz w:val="22"/>
          <w:szCs w:val="22"/>
        </w:rPr>
        <w:t>/20</w:t>
      </w:r>
    </w:p>
    <w:p w:rsidR="006D3D7A" w:rsidRDefault="006D3D7A" w:rsidP="006D3D7A">
      <w:pPr>
        <w:jc w:val="both"/>
        <w:rPr>
          <w:b/>
          <w:sz w:val="22"/>
          <w:szCs w:val="22"/>
        </w:rPr>
      </w:pPr>
    </w:p>
    <w:p w:rsidR="00CD134F" w:rsidRPr="006A26E8" w:rsidRDefault="00CD134F" w:rsidP="00CD134F">
      <w:pPr>
        <w:jc w:val="both"/>
        <w:rPr>
          <w:rFonts w:eastAsia="Arial"/>
          <w:sz w:val="22"/>
          <w:szCs w:val="22"/>
          <w:lang w:eastAsia="es-AR"/>
        </w:rPr>
      </w:pPr>
      <w:r w:rsidRPr="006A26E8">
        <w:rPr>
          <w:rFonts w:eastAsia="Arial"/>
          <w:sz w:val="22"/>
          <w:szCs w:val="22"/>
          <w:lang w:eastAsia="es-AR"/>
        </w:rPr>
        <w:t>El presente establece los protocolos de actuación y las modalidades de los mismos en torno a los procesos de tesis de grado presencial y virtual y  postgrado dentro del Plan de Contingencia por COVID19 de la F</w:t>
      </w:r>
      <w:r>
        <w:rPr>
          <w:rFonts w:eastAsia="Arial"/>
          <w:sz w:val="22"/>
          <w:szCs w:val="22"/>
          <w:lang w:eastAsia="es-AR"/>
        </w:rPr>
        <w:t xml:space="preserve">acultad de </w:t>
      </w:r>
      <w:r w:rsidRPr="006A26E8">
        <w:rPr>
          <w:rFonts w:eastAsia="Arial"/>
          <w:sz w:val="22"/>
          <w:szCs w:val="22"/>
          <w:lang w:eastAsia="es-AR"/>
        </w:rPr>
        <w:t>C</w:t>
      </w:r>
      <w:r>
        <w:rPr>
          <w:rFonts w:eastAsia="Arial"/>
          <w:sz w:val="22"/>
          <w:szCs w:val="22"/>
          <w:lang w:eastAsia="es-AR"/>
        </w:rPr>
        <w:t xml:space="preserve">iencias </w:t>
      </w:r>
      <w:r w:rsidRPr="006A26E8">
        <w:rPr>
          <w:rFonts w:eastAsia="Arial"/>
          <w:sz w:val="22"/>
          <w:szCs w:val="22"/>
          <w:lang w:eastAsia="es-AR"/>
        </w:rPr>
        <w:t>H</w:t>
      </w:r>
      <w:r>
        <w:rPr>
          <w:rFonts w:eastAsia="Arial"/>
          <w:sz w:val="22"/>
          <w:szCs w:val="22"/>
          <w:lang w:eastAsia="es-AR"/>
        </w:rPr>
        <w:t>umanas.</w:t>
      </w:r>
      <w:r w:rsidRPr="006A26E8">
        <w:rPr>
          <w:rFonts w:eastAsia="Arial"/>
          <w:sz w:val="22"/>
          <w:szCs w:val="22"/>
          <w:lang w:eastAsia="es-AR"/>
        </w:rPr>
        <w:t xml:space="preserve"> </w:t>
      </w:r>
    </w:p>
    <w:p w:rsidR="00CD134F" w:rsidRDefault="00CD134F" w:rsidP="00CD134F">
      <w:pPr>
        <w:jc w:val="both"/>
        <w:rPr>
          <w:rFonts w:eastAsia="Arial"/>
          <w:sz w:val="22"/>
          <w:szCs w:val="22"/>
          <w:lang w:eastAsia="es-AR"/>
        </w:rPr>
      </w:pPr>
    </w:p>
    <w:p w:rsidR="00CD134F" w:rsidRPr="006A26E8" w:rsidRDefault="00CD134F" w:rsidP="00CD134F">
      <w:pPr>
        <w:jc w:val="both"/>
        <w:rPr>
          <w:rFonts w:eastAsia="Arial"/>
          <w:sz w:val="22"/>
          <w:szCs w:val="22"/>
          <w:lang w:eastAsia="es-AR"/>
        </w:rPr>
      </w:pPr>
      <w:r w:rsidRPr="006A26E8">
        <w:rPr>
          <w:rFonts w:eastAsia="Arial"/>
          <w:sz w:val="22"/>
          <w:szCs w:val="22"/>
          <w:lang w:eastAsia="es-AR"/>
        </w:rPr>
        <w:t>El mismo está destinado a:</w:t>
      </w:r>
    </w:p>
    <w:p w:rsidR="00CD134F" w:rsidRPr="006A26E8" w:rsidRDefault="00CD134F" w:rsidP="00CD134F">
      <w:pPr>
        <w:jc w:val="both"/>
        <w:rPr>
          <w:rFonts w:eastAsia="Arial"/>
          <w:i/>
          <w:sz w:val="22"/>
          <w:szCs w:val="22"/>
          <w:lang w:eastAsia="es-AR"/>
        </w:rPr>
      </w:pPr>
    </w:p>
    <w:p w:rsidR="00CD134F" w:rsidRPr="00CD134F" w:rsidRDefault="00CD134F" w:rsidP="00CD134F">
      <w:pPr>
        <w:numPr>
          <w:ilvl w:val="0"/>
          <w:numId w:val="9"/>
        </w:numPr>
        <w:jc w:val="both"/>
        <w:rPr>
          <w:rFonts w:eastAsia="Arial"/>
          <w:i/>
          <w:sz w:val="22"/>
          <w:szCs w:val="22"/>
          <w:lang w:eastAsia="es-AR"/>
        </w:rPr>
      </w:pPr>
      <w:r w:rsidRPr="006A26E8">
        <w:rPr>
          <w:rFonts w:eastAsia="Arial"/>
          <w:color w:val="000000"/>
          <w:sz w:val="22"/>
          <w:szCs w:val="22"/>
          <w:lang w:eastAsia="es-AR"/>
        </w:rPr>
        <w:t>todos los estudiantes que requieran el inicio del trámite en cualquiera de las instancias del mismo</w:t>
      </w:r>
      <w:r>
        <w:rPr>
          <w:rFonts w:eastAsia="Arial"/>
          <w:color w:val="000000"/>
          <w:sz w:val="22"/>
          <w:szCs w:val="22"/>
          <w:lang w:eastAsia="es-AR"/>
        </w:rPr>
        <w:t xml:space="preserve">; </w:t>
      </w:r>
    </w:p>
    <w:p w:rsidR="00CD134F" w:rsidRDefault="00CD134F" w:rsidP="00CD134F">
      <w:pPr>
        <w:ind w:left="1485"/>
        <w:jc w:val="both"/>
        <w:rPr>
          <w:rFonts w:eastAsia="Arial"/>
          <w:i/>
          <w:sz w:val="22"/>
          <w:szCs w:val="22"/>
          <w:lang w:eastAsia="es-AR"/>
        </w:rPr>
      </w:pPr>
    </w:p>
    <w:p w:rsidR="00CD134F" w:rsidRPr="00CD134F" w:rsidRDefault="00CD134F" w:rsidP="00CD134F">
      <w:pPr>
        <w:numPr>
          <w:ilvl w:val="0"/>
          <w:numId w:val="9"/>
        </w:numPr>
        <w:jc w:val="both"/>
        <w:rPr>
          <w:rFonts w:eastAsia="Arial"/>
          <w:i/>
          <w:sz w:val="22"/>
          <w:szCs w:val="22"/>
          <w:lang w:eastAsia="es-AR"/>
        </w:rPr>
      </w:pPr>
      <w:r w:rsidRPr="00CD134F">
        <w:rPr>
          <w:rFonts w:eastAsia="Arial"/>
          <w:i/>
          <w:sz w:val="22"/>
          <w:szCs w:val="22"/>
          <w:lang w:eastAsia="es-AR"/>
        </w:rPr>
        <w:t xml:space="preserve">los estudiantes que están en situación de defensa de tesis </w:t>
      </w:r>
      <w:r w:rsidRPr="00CD134F">
        <w:rPr>
          <w:rFonts w:eastAsia="Arial"/>
          <w:color w:val="000000"/>
          <w:sz w:val="22"/>
          <w:szCs w:val="22"/>
          <w:lang w:eastAsia="es-AR"/>
        </w:rPr>
        <w:t xml:space="preserve"> </w:t>
      </w:r>
      <w:r w:rsidRPr="00CD134F">
        <w:rPr>
          <w:rFonts w:eastAsia="Arial"/>
          <w:i/>
          <w:sz w:val="22"/>
          <w:szCs w:val="22"/>
          <w:lang w:eastAsia="es-AR"/>
        </w:rPr>
        <w:t xml:space="preserve">para </w:t>
      </w:r>
      <w:r w:rsidRPr="00CD134F">
        <w:rPr>
          <w:rFonts w:eastAsia="Arial"/>
          <w:color w:val="000000"/>
          <w:sz w:val="22"/>
          <w:szCs w:val="22"/>
          <w:lang w:eastAsia="es-AR"/>
        </w:rPr>
        <w:t xml:space="preserve"> normar las acciones requeridas por R</w:t>
      </w:r>
      <w:r>
        <w:rPr>
          <w:rFonts w:eastAsia="Arial"/>
          <w:color w:val="000000"/>
          <w:sz w:val="22"/>
          <w:szCs w:val="22"/>
          <w:lang w:eastAsia="es-AR"/>
        </w:rPr>
        <w:t xml:space="preserve">esolución de </w:t>
      </w:r>
      <w:r w:rsidRPr="00CD134F">
        <w:rPr>
          <w:rFonts w:eastAsia="Arial"/>
          <w:color w:val="000000"/>
          <w:sz w:val="22"/>
          <w:szCs w:val="22"/>
          <w:lang w:eastAsia="es-AR"/>
        </w:rPr>
        <w:t>R</w:t>
      </w:r>
      <w:r>
        <w:rPr>
          <w:rFonts w:eastAsia="Arial"/>
          <w:color w:val="000000"/>
          <w:sz w:val="22"/>
          <w:szCs w:val="22"/>
          <w:lang w:eastAsia="es-AR"/>
        </w:rPr>
        <w:t>ectorado N°</w:t>
      </w:r>
      <w:r w:rsidRPr="00CD134F">
        <w:rPr>
          <w:rFonts w:eastAsia="Arial"/>
          <w:color w:val="000000"/>
          <w:sz w:val="22"/>
          <w:szCs w:val="22"/>
          <w:lang w:eastAsia="es-AR"/>
        </w:rPr>
        <w:t xml:space="preserve"> 302/20  que en su artículo 3 establece: </w:t>
      </w:r>
      <w:r w:rsidRPr="00CD134F">
        <w:rPr>
          <w:rFonts w:eastAsia="Arial"/>
          <w:i/>
          <w:color w:val="000000"/>
          <w:sz w:val="22"/>
          <w:szCs w:val="22"/>
          <w:lang w:eastAsia="es-AR"/>
        </w:rPr>
        <w:t>Ante la excepcionalidad de la situación y a fin de concentrar los esfuerzos en garantizar la calidad de las actividades académicas, suspender por el término de 30 días las evaluaciones finales de cursos, de trabajos finales de carrera y de tesis de posgrado. Se faculta asimismo a cada Unidad Académica a llevar a cabo las mismas cuando existan probadas razones de necesidad y urgencia y durante el período enunciado</w:t>
      </w:r>
      <w:r w:rsidRPr="00CD134F">
        <w:rPr>
          <w:rFonts w:eastAsia="Arial"/>
          <w:color w:val="000000"/>
          <w:sz w:val="22"/>
          <w:szCs w:val="22"/>
          <w:lang w:eastAsia="es-AR"/>
        </w:rPr>
        <w:t>.</w:t>
      </w:r>
    </w:p>
    <w:p w:rsidR="00CD134F" w:rsidRPr="006A26E8" w:rsidRDefault="00CD134F" w:rsidP="00CD134F">
      <w:pPr>
        <w:ind w:left="1418"/>
        <w:jc w:val="both"/>
        <w:rPr>
          <w:rFonts w:eastAsia="Arial"/>
          <w:i/>
          <w:sz w:val="22"/>
          <w:szCs w:val="22"/>
          <w:lang w:eastAsia="es-AR"/>
        </w:rPr>
      </w:pPr>
    </w:p>
    <w:p w:rsidR="00CD134F" w:rsidRPr="006A26E8" w:rsidRDefault="00CD134F" w:rsidP="00CD134F">
      <w:pPr>
        <w:pStyle w:val="Prrafodelista"/>
        <w:numPr>
          <w:ilvl w:val="0"/>
          <w:numId w:val="12"/>
        </w:numPr>
        <w:ind w:left="142" w:firstLine="0"/>
        <w:jc w:val="both"/>
        <w:rPr>
          <w:rFonts w:eastAsia="Arial"/>
          <w:b/>
          <w:sz w:val="22"/>
          <w:szCs w:val="22"/>
          <w:lang w:eastAsia="es-AR"/>
        </w:rPr>
      </w:pPr>
      <w:r w:rsidRPr="006A26E8">
        <w:rPr>
          <w:rFonts w:eastAsia="Arial"/>
          <w:b/>
          <w:sz w:val="22"/>
          <w:szCs w:val="22"/>
          <w:lang w:eastAsia="es-AR"/>
        </w:rPr>
        <w:t>Procesos Previos a la Defensa</w:t>
      </w:r>
    </w:p>
    <w:p w:rsidR="00CD134F" w:rsidRPr="006A26E8" w:rsidRDefault="00CD134F" w:rsidP="00CD134F">
      <w:pPr>
        <w:pStyle w:val="Prrafodelista"/>
        <w:ind w:left="142"/>
        <w:jc w:val="both"/>
        <w:rPr>
          <w:rFonts w:eastAsia="Arial"/>
          <w:b/>
          <w:sz w:val="22"/>
          <w:szCs w:val="22"/>
          <w:lang w:eastAsia="es-AR"/>
        </w:rPr>
      </w:pPr>
    </w:p>
    <w:p w:rsidR="00CD134F" w:rsidRPr="006A26E8" w:rsidRDefault="00CD134F" w:rsidP="00CD134F">
      <w:pPr>
        <w:numPr>
          <w:ilvl w:val="0"/>
          <w:numId w:val="11"/>
        </w:numPr>
        <w:jc w:val="both"/>
        <w:rPr>
          <w:rFonts w:eastAsia="Arial"/>
          <w:sz w:val="22"/>
          <w:szCs w:val="22"/>
          <w:lang w:eastAsia="es-AR"/>
        </w:rPr>
      </w:pPr>
      <w:r w:rsidRPr="006A26E8">
        <w:rPr>
          <w:rFonts w:eastAsia="Arial"/>
          <w:color w:val="000000"/>
          <w:sz w:val="22"/>
          <w:szCs w:val="22"/>
          <w:lang w:eastAsia="es-AR"/>
        </w:rPr>
        <w:t>PRESENTACIÓN DE PROYECTOS DE TESIS: En el caso de las tesis de grado, se presentan</w:t>
      </w:r>
      <w:r w:rsidRPr="006A26E8">
        <w:rPr>
          <w:rFonts w:eastAsia="Arial"/>
          <w:b/>
          <w:color w:val="FF0000"/>
          <w:sz w:val="22"/>
          <w:szCs w:val="22"/>
          <w:lang w:eastAsia="es-AR"/>
        </w:rPr>
        <w:t xml:space="preserve"> </w:t>
      </w:r>
      <w:r w:rsidRPr="006A26E8">
        <w:rPr>
          <w:rFonts w:eastAsia="Arial"/>
          <w:sz w:val="22"/>
          <w:szCs w:val="22"/>
          <w:lang w:eastAsia="es-AR"/>
        </w:rPr>
        <w:t>vía email</w:t>
      </w:r>
      <w:r w:rsidRPr="006A26E8">
        <w:rPr>
          <w:rFonts w:eastAsia="Arial"/>
          <w:color w:val="000000"/>
          <w:sz w:val="22"/>
          <w:szCs w:val="22"/>
          <w:lang w:eastAsia="es-AR"/>
        </w:rPr>
        <w:t>, al Consejo de Carrera</w:t>
      </w:r>
      <w:r w:rsidRPr="006A26E8">
        <w:rPr>
          <w:rFonts w:eastAsia="Arial"/>
          <w:sz w:val="22"/>
          <w:szCs w:val="22"/>
          <w:lang w:eastAsia="es-AR"/>
        </w:rPr>
        <w:t xml:space="preserve"> </w:t>
      </w:r>
      <w:r w:rsidRPr="006A26E8">
        <w:rPr>
          <w:rFonts w:eastAsia="Arial"/>
          <w:color w:val="000000"/>
          <w:sz w:val="22"/>
          <w:szCs w:val="22"/>
          <w:lang w:eastAsia="es-AR"/>
        </w:rPr>
        <w:t>y a la C</w:t>
      </w:r>
      <w:r>
        <w:rPr>
          <w:rFonts w:eastAsia="Arial"/>
          <w:color w:val="000000"/>
          <w:sz w:val="22"/>
          <w:szCs w:val="22"/>
          <w:lang w:eastAsia="es-AR"/>
        </w:rPr>
        <w:t xml:space="preserve">omisión </w:t>
      </w:r>
      <w:r w:rsidRPr="006A26E8">
        <w:rPr>
          <w:rFonts w:eastAsia="Arial"/>
          <w:color w:val="000000"/>
          <w:sz w:val="22"/>
          <w:szCs w:val="22"/>
          <w:lang w:eastAsia="es-AR"/>
        </w:rPr>
        <w:t>A</w:t>
      </w:r>
      <w:r>
        <w:rPr>
          <w:rFonts w:eastAsia="Arial"/>
          <w:color w:val="000000"/>
          <w:sz w:val="22"/>
          <w:szCs w:val="22"/>
          <w:lang w:eastAsia="es-AR"/>
        </w:rPr>
        <w:t xml:space="preserve">cadémica de </w:t>
      </w:r>
      <w:r w:rsidRPr="006A26E8">
        <w:rPr>
          <w:rFonts w:eastAsia="Arial"/>
          <w:color w:val="000000"/>
          <w:sz w:val="22"/>
          <w:szCs w:val="22"/>
          <w:lang w:eastAsia="es-AR"/>
        </w:rPr>
        <w:t>P</w:t>
      </w:r>
      <w:r>
        <w:rPr>
          <w:rFonts w:eastAsia="Arial"/>
          <w:color w:val="000000"/>
          <w:sz w:val="22"/>
          <w:szCs w:val="22"/>
          <w:lang w:eastAsia="es-AR"/>
        </w:rPr>
        <w:t>ostgrado</w:t>
      </w:r>
      <w:r w:rsidRPr="006A26E8">
        <w:rPr>
          <w:rFonts w:eastAsia="Arial"/>
          <w:color w:val="000000"/>
          <w:sz w:val="22"/>
          <w:szCs w:val="22"/>
          <w:lang w:eastAsia="es-AR"/>
        </w:rPr>
        <w:t xml:space="preserve"> en caso de Postgrad</w:t>
      </w:r>
      <w:r w:rsidRPr="006A26E8">
        <w:rPr>
          <w:rFonts w:eastAsia="Arial"/>
          <w:color w:val="000000"/>
          <w:sz w:val="22"/>
          <w:szCs w:val="22"/>
          <w:highlight w:val="white"/>
          <w:lang w:eastAsia="es-AR"/>
        </w:rPr>
        <w:t>o</w:t>
      </w:r>
      <w:r w:rsidRPr="006A26E8">
        <w:rPr>
          <w:rFonts w:eastAsia="Arial"/>
          <w:sz w:val="22"/>
          <w:szCs w:val="22"/>
          <w:highlight w:val="white"/>
          <w:lang w:eastAsia="es-AR"/>
        </w:rPr>
        <w:t>.</w:t>
      </w:r>
      <w:r>
        <w:rPr>
          <w:rFonts w:eastAsia="Arial"/>
          <w:sz w:val="22"/>
          <w:szCs w:val="22"/>
          <w:highlight w:val="white"/>
          <w:lang w:eastAsia="es-AR"/>
        </w:rPr>
        <w:t xml:space="preserve"> </w:t>
      </w:r>
      <w:r w:rsidRPr="006A26E8">
        <w:rPr>
          <w:rFonts w:eastAsia="Arial"/>
          <w:color w:val="000000"/>
          <w:sz w:val="22"/>
          <w:szCs w:val="22"/>
          <w:highlight w:val="white"/>
          <w:lang w:eastAsia="es-AR"/>
        </w:rPr>
        <w:t xml:space="preserve">En caso de  DIRECTOR EXTERNO </w:t>
      </w:r>
      <w:r w:rsidRPr="006A26E8">
        <w:rPr>
          <w:rFonts w:eastAsia="Arial"/>
          <w:color w:val="000000"/>
          <w:sz w:val="22"/>
          <w:szCs w:val="22"/>
          <w:lang w:eastAsia="es-AR"/>
        </w:rPr>
        <w:t xml:space="preserve">se eleva la documentación correspondiente a la Secretaria Académica </w:t>
      </w:r>
      <w:r w:rsidRPr="006A26E8">
        <w:rPr>
          <w:rFonts w:eastAsia="Arial"/>
          <w:sz w:val="22"/>
          <w:szCs w:val="22"/>
          <w:lang w:eastAsia="es-AR"/>
        </w:rPr>
        <w:t>o a la Secretaría de Posgrado según corresponda</w:t>
      </w:r>
      <w:r w:rsidRPr="006A26E8">
        <w:rPr>
          <w:rFonts w:eastAsia="Arial"/>
          <w:color w:val="000000"/>
          <w:sz w:val="22"/>
          <w:szCs w:val="22"/>
          <w:lang w:eastAsia="es-AR"/>
        </w:rPr>
        <w:t xml:space="preserve"> con la nota de aceptación de los respectivos cuerpos consultivos. </w:t>
      </w:r>
      <w:r w:rsidRPr="006A26E8">
        <w:rPr>
          <w:rFonts w:eastAsia="Arial"/>
          <w:sz w:val="22"/>
          <w:szCs w:val="22"/>
          <w:lang w:eastAsia="es-AR"/>
        </w:rPr>
        <w:t>Está</w:t>
      </w:r>
      <w:r w:rsidRPr="006A26E8">
        <w:rPr>
          <w:rFonts w:eastAsia="Arial"/>
          <w:color w:val="000000"/>
          <w:sz w:val="22"/>
          <w:szCs w:val="22"/>
          <w:lang w:eastAsia="es-AR"/>
        </w:rPr>
        <w:t xml:space="preserve"> lo eleva al ejecutivo para una resolución de Decanato ad </w:t>
      </w:r>
      <w:r w:rsidRPr="006A26E8">
        <w:rPr>
          <w:rFonts w:eastAsia="Arial"/>
          <w:sz w:val="22"/>
          <w:szCs w:val="22"/>
          <w:lang w:eastAsia="es-AR"/>
        </w:rPr>
        <w:t>referéndum</w:t>
      </w:r>
      <w:r w:rsidRPr="006A26E8">
        <w:rPr>
          <w:rFonts w:eastAsia="Arial"/>
          <w:color w:val="000000"/>
          <w:sz w:val="22"/>
          <w:szCs w:val="22"/>
          <w:lang w:eastAsia="es-AR"/>
        </w:rPr>
        <w:t>.</w:t>
      </w:r>
    </w:p>
    <w:p w:rsidR="00CD134F" w:rsidRPr="006A26E8" w:rsidRDefault="00CD134F" w:rsidP="00CD134F">
      <w:pPr>
        <w:ind w:left="720"/>
        <w:jc w:val="both"/>
        <w:rPr>
          <w:rFonts w:eastAsia="Arial"/>
          <w:sz w:val="22"/>
          <w:szCs w:val="22"/>
          <w:lang w:eastAsia="es-AR"/>
        </w:rPr>
      </w:pPr>
    </w:p>
    <w:p w:rsidR="00CD134F" w:rsidRPr="006A26E8" w:rsidRDefault="00CD134F" w:rsidP="00CD134F">
      <w:pPr>
        <w:numPr>
          <w:ilvl w:val="0"/>
          <w:numId w:val="11"/>
        </w:numPr>
        <w:jc w:val="both"/>
        <w:rPr>
          <w:rFonts w:eastAsia="Arial"/>
          <w:sz w:val="22"/>
          <w:szCs w:val="22"/>
          <w:lang w:eastAsia="es-AR"/>
        </w:rPr>
      </w:pPr>
      <w:r w:rsidRPr="006A26E8">
        <w:rPr>
          <w:rFonts w:eastAsia="Arial"/>
          <w:sz w:val="22"/>
          <w:szCs w:val="22"/>
          <w:lang w:eastAsia="es-AR"/>
        </w:rPr>
        <w:t>PRESENTACIÓN DE LA TESIS</w:t>
      </w:r>
      <w:r>
        <w:rPr>
          <w:rFonts w:eastAsia="Arial"/>
          <w:sz w:val="22"/>
          <w:szCs w:val="22"/>
          <w:lang w:eastAsia="es-AR"/>
        </w:rPr>
        <w:t>:</w:t>
      </w:r>
      <w:r w:rsidRPr="006A26E8">
        <w:rPr>
          <w:rFonts w:eastAsia="Arial"/>
          <w:sz w:val="22"/>
          <w:szCs w:val="22"/>
          <w:lang w:eastAsia="es-AR"/>
        </w:rPr>
        <w:t xml:space="preserve"> Los procedimientos anteriores a la presentación de la tesis seguirán siendo los mismos. </w:t>
      </w:r>
    </w:p>
    <w:p w:rsidR="00CD134F" w:rsidRPr="006A26E8" w:rsidRDefault="00CD134F" w:rsidP="00CD134F">
      <w:pPr>
        <w:jc w:val="both"/>
        <w:rPr>
          <w:rFonts w:eastAsia="Arial"/>
          <w:i/>
          <w:sz w:val="22"/>
          <w:szCs w:val="22"/>
          <w:lang w:eastAsia="es-AR"/>
        </w:rPr>
      </w:pPr>
    </w:p>
    <w:p w:rsidR="00CD134F" w:rsidRDefault="00CD134F" w:rsidP="00CD134F">
      <w:pPr>
        <w:numPr>
          <w:ilvl w:val="1"/>
          <w:numId w:val="11"/>
        </w:numPr>
        <w:jc w:val="both"/>
        <w:rPr>
          <w:rFonts w:eastAsia="Arial"/>
          <w:sz w:val="22"/>
          <w:szCs w:val="22"/>
          <w:lang w:eastAsia="es-AR"/>
        </w:rPr>
      </w:pPr>
      <w:r w:rsidRPr="006A26E8">
        <w:rPr>
          <w:rFonts w:eastAsia="Arial"/>
          <w:sz w:val="22"/>
          <w:szCs w:val="22"/>
          <w:lang w:eastAsia="es-AR"/>
        </w:rPr>
        <w:t>Estudiantes de carreras de grado, presenciales, a distancia y de posgrado presentaran una nota con la solicitud de defensa de tesis de manera excepcional por alcances del Artículo 3 de la R</w:t>
      </w:r>
      <w:r>
        <w:rPr>
          <w:rFonts w:eastAsia="Arial"/>
          <w:sz w:val="22"/>
          <w:szCs w:val="22"/>
          <w:lang w:eastAsia="es-AR"/>
        </w:rPr>
        <w:t xml:space="preserve">esolución de </w:t>
      </w:r>
      <w:r w:rsidRPr="006A26E8">
        <w:rPr>
          <w:rFonts w:eastAsia="Arial"/>
          <w:sz w:val="22"/>
          <w:szCs w:val="22"/>
          <w:lang w:eastAsia="es-AR"/>
        </w:rPr>
        <w:t>R</w:t>
      </w:r>
      <w:r>
        <w:rPr>
          <w:rFonts w:eastAsia="Arial"/>
          <w:sz w:val="22"/>
          <w:szCs w:val="22"/>
          <w:lang w:eastAsia="es-AR"/>
        </w:rPr>
        <w:t>ectorado N°</w:t>
      </w:r>
      <w:r w:rsidRPr="006A26E8">
        <w:rPr>
          <w:rFonts w:eastAsia="Arial"/>
          <w:sz w:val="22"/>
          <w:szCs w:val="22"/>
          <w:lang w:eastAsia="es-AR"/>
        </w:rPr>
        <w:t xml:space="preserve">302/20 con la documentación </w:t>
      </w:r>
      <w:proofErr w:type="spellStart"/>
      <w:r w:rsidRPr="006A26E8">
        <w:rPr>
          <w:rFonts w:eastAsia="Arial"/>
          <w:sz w:val="22"/>
          <w:szCs w:val="22"/>
          <w:lang w:eastAsia="es-AR"/>
        </w:rPr>
        <w:t>respaldatoria</w:t>
      </w:r>
      <w:proofErr w:type="spellEnd"/>
      <w:r>
        <w:rPr>
          <w:rFonts w:eastAsia="Arial"/>
          <w:sz w:val="22"/>
          <w:szCs w:val="22"/>
          <w:lang w:eastAsia="es-AR"/>
        </w:rPr>
        <w:t>.</w:t>
      </w:r>
    </w:p>
    <w:p w:rsidR="00CD134F" w:rsidRPr="006A26E8" w:rsidRDefault="00CD134F" w:rsidP="00CD134F">
      <w:pPr>
        <w:ind w:left="1440"/>
        <w:jc w:val="both"/>
        <w:rPr>
          <w:rFonts w:eastAsia="Arial"/>
          <w:sz w:val="22"/>
          <w:szCs w:val="22"/>
          <w:lang w:eastAsia="es-AR"/>
        </w:rPr>
      </w:pPr>
    </w:p>
    <w:p w:rsidR="00CD134F" w:rsidRDefault="00CD134F" w:rsidP="00CD134F">
      <w:pPr>
        <w:numPr>
          <w:ilvl w:val="1"/>
          <w:numId w:val="11"/>
        </w:numPr>
        <w:jc w:val="both"/>
        <w:rPr>
          <w:rFonts w:eastAsia="Arial"/>
          <w:sz w:val="22"/>
          <w:szCs w:val="22"/>
          <w:lang w:eastAsia="es-AR"/>
        </w:rPr>
      </w:pPr>
      <w:r w:rsidRPr="006A26E8">
        <w:rPr>
          <w:rFonts w:eastAsia="Arial"/>
          <w:sz w:val="22"/>
          <w:szCs w:val="22"/>
          <w:lang w:eastAsia="es-AR"/>
        </w:rPr>
        <w:t>Estudiantes de carreras de grado, presenciales, presentan la versión digital de la tesis (</w:t>
      </w:r>
      <w:proofErr w:type="spellStart"/>
      <w:r w:rsidRPr="006A26E8">
        <w:rPr>
          <w:rFonts w:eastAsia="Arial"/>
          <w:sz w:val="22"/>
          <w:szCs w:val="22"/>
          <w:lang w:eastAsia="es-AR"/>
        </w:rPr>
        <w:t>pdf</w:t>
      </w:r>
      <w:proofErr w:type="spellEnd"/>
      <w:r w:rsidRPr="006A26E8">
        <w:rPr>
          <w:rFonts w:eastAsia="Arial"/>
          <w:sz w:val="22"/>
          <w:szCs w:val="22"/>
          <w:lang w:eastAsia="es-AR"/>
        </w:rPr>
        <w:t>) en Secretaría Académica. Estudiantes de carrera de grado, modalidad a distancia, presentan la versión digital de la tesis (</w:t>
      </w:r>
      <w:proofErr w:type="spellStart"/>
      <w:r w:rsidRPr="006A26E8">
        <w:rPr>
          <w:rFonts w:eastAsia="Arial"/>
          <w:sz w:val="22"/>
          <w:szCs w:val="22"/>
          <w:lang w:eastAsia="es-AR"/>
        </w:rPr>
        <w:t>pdf</w:t>
      </w:r>
      <w:proofErr w:type="spellEnd"/>
      <w:r w:rsidRPr="006A26E8">
        <w:rPr>
          <w:rFonts w:eastAsia="Arial"/>
          <w:sz w:val="22"/>
          <w:szCs w:val="22"/>
          <w:lang w:eastAsia="es-AR"/>
        </w:rPr>
        <w:t>) en el Centro Educativo Digital. Por último, los estudiantes de carreras de posgrado, presentan la versión digital de la tesis (</w:t>
      </w:r>
      <w:proofErr w:type="spellStart"/>
      <w:r w:rsidRPr="006A26E8">
        <w:rPr>
          <w:rFonts w:eastAsia="Arial"/>
          <w:sz w:val="22"/>
          <w:szCs w:val="22"/>
          <w:lang w:eastAsia="es-AR"/>
        </w:rPr>
        <w:t>pdf</w:t>
      </w:r>
      <w:proofErr w:type="spellEnd"/>
      <w:r w:rsidRPr="006A26E8">
        <w:rPr>
          <w:rFonts w:eastAsia="Arial"/>
          <w:sz w:val="22"/>
          <w:szCs w:val="22"/>
          <w:lang w:eastAsia="es-AR"/>
        </w:rPr>
        <w:t>) en Secretaría de Posgrado.</w:t>
      </w:r>
    </w:p>
    <w:p w:rsidR="00CD134F" w:rsidRDefault="00CD134F" w:rsidP="00CD134F">
      <w:pPr>
        <w:pStyle w:val="Prrafodelista"/>
        <w:rPr>
          <w:rFonts w:eastAsia="Arial"/>
          <w:sz w:val="22"/>
          <w:szCs w:val="22"/>
          <w:lang w:eastAsia="es-AR"/>
        </w:rPr>
      </w:pPr>
    </w:p>
    <w:p w:rsidR="00CD134F" w:rsidRDefault="00CD134F" w:rsidP="00CD134F">
      <w:pPr>
        <w:numPr>
          <w:ilvl w:val="1"/>
          <w:numId w:val="11"/>
        </w:numPr>
        <w:jc w:val="both"/>
        <w:rPr>
          <w:rFonts w:eastAsia="Arial"/>
          <w:sz w:val="22"/>
          <w:szCs w:val="22"/>
          <w:lang w:eastAsia="es-AR"/>
        </w:rPr>
      </w:pPr>
      <w:r w:rsidRPr="006A26E8">
        <w:rPr>
          <w:rFonts w:eastAsia="Arial"/>
          <w:i/>
          <w:sz w:val="22"/>
          <w:szCs w:val="22"/>
          <w:lang w:eastAsia="es-AR"/>
        </w:rPr>
        <w:t>Certificado Libre de Deuda</w:t>
      </w:r>
      <w:r w:rsidRPr="006A26E8">
        <w:rPr>
          <w:rFonts w:eastAsia="Arial"/>
          <w:i/>
          <w:sz w:val="22"/>
          <w:szCs w:val="22"/>
          <w:vertAlign w:val="superscript"/>
          <w:lang w:eastAsia="es-AR"/>
        </w:rPr>
        <w:footnoteReference w:id="1"/>
      </w:r>
      <w:r w:rsidRPr="006A26E8">
        <w:rPr>
          <w:rFonts w:eastAsia="Arial"/>
          <w:i/>
          <w:sz w:val="22"/>
          <w:szCs w:val="22"/>
          <w:lang w:eastAsia="es-AR"/>
        </w:rPr>
        <w:t xml:space="preserve"> materias o Certificado de Créditos.</w:t>
      </w:r>
      <w:r w:rsidRPr="006A26E8">
        <w:rPr>
          <w:rFonts w:eastAsia="Arial"/>
          <w:sz w:val="22"/>
          <w:szCs w:val="22"/>
          <w:lang w:eastAsia="es-AR"/>
        </w:rPr>
        <w:t xml:space="preserve"> Los estudiantes tienen que solicitar el certificado de libre deuda de materias 15 días antes de presentar la tesis una vez que tengan autorizada la defensa. En este </w:t>
      </w:r>
      <w:r w:rsidRPr="006A26E8">
        <w:rPr>
          <w:rFonts w:eastAsia="Arial"/>
          <w:sz w:val="22"/>
          <w:szCs w:val="22"/>
          <w:lang w:eastAsia="es-AR"/>
        </w:rPr>
        <w:lastRenderedPageBreak/>
        <w:t xml:space="preserve">contexto lo solicitarán por mail a la Oficina de Alumnos y se les enviará a ellos por el mismo medio para que puedan adjuntarlo a la presentación de la tesis. </w:t>
      </w:r>
    </w:p>
    <w:p w:rsidR="00CD134F" w:rsidRDefault="00CD134F" w:rsidP="00CD134F">
      <w:pPr>
        <w:pStyle w:val="Prrafodelista"/>
        <w:rPr>
          <w:rFonts w:eastAsia="Arial"/>
          <w:sz w:val="22"/>
          <w:szCs w:val="22"/>
          <w:lang w:eastAsia="es-AR"/>
        </w:rPr>
      </w:pPr>
    </w:p>
    <w:p w:rsidR="00CD134F" w:rsidRPr="006A26E8" w:rsidRDefault="00CD134F" w:rsidP="00CD134F">
      <w:pPr>
        <w:numPr>
          <w:ilvl w:val="1"/>
          <w:numId w:val="11"/>
        </w:numPr>
        <w:jc w:val="both"/>
        <w:rPr>
          <w:rFonts w:eastAsia="Arial"/>
          <w:sz w:val="22"/>
          <w:szCs w:val="22"/>
          <w:lang w:eastAsia="es-AR"/>
        </w:rPr>
      </w:pPr>
      <w:r w:rsidRPr="006A26E8">
        <w:rPr>
          <w:rFonts w:eastAsia="Arial"/>
          <w:sz w:val="22"/>
          <w:szCs w:val="22"/>
          <w:lang w:eastAsia="es-AR"/>
        </w:rPr>
        <w:t xml:space="preserve">Estudiantes de carreras de grado, presenciales, a distancia y de posgrado, adjuntarán en el envío de la tesis una nota del Director de la tesis en donde manifieste estar de acuerdo en la presentación de la tesis para su defensa. </w:t>
      </w:r>
    </w:p>
    <w:p w:rsidR="00CD134F" w:rsidRPr="006A26E8" w:rsidRDefault="00CD134F" w:rsidP="00CD134F">
      <w:pPr>
        <w:ind w:left="1080"/>
        <w:jc w:val="both"/>
        <w:rPr>
          <w:rFonts w:eastAsia="Arial"/>
          <w:sz w:val="22"/>
          <w:szCs w:val="22"/>
          <w:lang w:eastAsia="es-AR"/>
        </w:rPr>
      </w:pPr>
    </w:p>
    <w:p w:rsidR="00CD134F" w:rsidRPr="006A26E8" w:rsidRDefault="00CD134F" w:rsidP="00CD134F">
      <w:pPr>
        <w:ind w:left="850" w:hanging="425"/>
        <w:jc w:val="both"/>
        <w:rPr>
          <w:rFonts w:eastAsia="Arial"/>
          <w:sz w:val="22"/>
          <w:szCs w:val="22"/>
          <w:lang w:eastAsia="es-AR"/>
        </w:rPr>
      </w:pPr>
      <w:r w:rsidRPr="006A26E8">
        <w:rPr>
          <w:rFonts w:eastAsia="Arial"/>
          <w:sz w:val="22"/>
          <w:szCs w:val="22"/>
          <w:lang w:eastAsia="es-AR"/>
        </w:rPr>
        <w:t xml:space="preserve">c) Una vez recibida toda la documentación mencionada en el punto anterior se elevará -desde la Secretaría correspondiente la nota solicitando la excepción para la defensa de tesis con los respaldos correspondientes para que sea evaluada por la comisión Ad hoc de representantes del Consejo Académico.   Dicha comisión estará compuesta por 5 consejeros en funciones (dos docentes, un alumno, un graduado, un nodocente). </w:t>
      </w:r>
      <w:r w:rsidR="0077590B">
        <w:rPr>
          <w:rFonts w:eastAsia="Arial"/>
          <w:sz w:val="22"/>
          <w:szCs w:val="22"/>
          <w:lang w:eastAsia="es-AR"/>
        </w:rPr>
        <w:t>Y</w:t>
      </w:r>
      <w:r w:rsidRPr="006A26E8">
        <w:rPr>
          <w:rFonts w:eastAsia="Arial"/>
          <w:sz w:val="22"/>
          <w:szCs w:val="22"/>
          <w:lang w:eastAsia="es-AR"/>
        </w:rPr>
        <w:t xml:space="preserve"> evaluará si los argumentos esgrimidos en la nota son suficientes para organizar su proceso de defensa. La misma elaborará un dictamen que será incorporado a los procesos de la tesis una vez comunicado al alumno.</w:t>
      </w:r>
    </w:p>
    <w:p w:rsidR="00CD134F" w:rsidRPr="006A26E8" w:rsidRDefault="00CD134F" w:rsidP="00CD134F">
      <w:pPr>
        <w:ind w:left="283" w:firstLine="1125"/>
        <w:jc w:val="both"/>
        <w:rPr>
          <w:rFonts w:eastAsia="Arial"/>
          <w:sz w:val="22"/>
          <w:szCs w:val="22"/>
          <w:lang w:eastAsia="es-AR"/>
        </w:rPr>
      </w:pPr>
    </w:p>
    <w:p w:rsidR="00CD134F" w:rsidRPr="006A26E8" w:rsidRDefault="00CD134F" w:rsidP="00CD134F">
      <w:pPr>
        <w:ind w:left="850" w:hanging="425"/>
        <w:jc w:val="both"/>
        <w:rPr>
          <w:rFonts w:eastAsia="Arial"/>
          <w:sz w:val="22"/>
          <w:szCs w:val="22"/>
          <w:highlight w:val="white"/>
          <w:lang w:eastAsia="es-AR"/>
        </w:rPr>
      </w:pPr>
      <w:r w:rsidRPr="006A26E8">
        <w:rPr>
          <w:rFonts w:eastAsia="Arial"/>
          <w:sz w:val="22"/>
          <w:szCs w:val="22"/>
          <w:lang w:eastAsia="es-AR"/>
        </w:rPr>
        <w:t>d) Si se otorga la posibilidad de defensa de tesis se procederá con el registro en el Módulo Tesis de SIU GUARANÍ (en caso de las tesis de grado)</w:t>
      </w:r>
      <w:r w:rsidRPr="006A26E8">
        <w:rPr>
          <w:rFonts w:eastAsia="Arial"/>
          <w:sz w:val="22"/>
          <w:szCs w:val="22"/>
          <w:highlight w:val="white"/>
          <w:vertAlign w:val="superscript"/>
          <w:lang w:eastAsia="es-AR"/>
        </w:rPr>
        <w:footnoteReference w:id="2"/>
      </w:r>
      <w:r w:rsidRPr="006A26E8">
        <w:rPr>
          <w:rFonts w:eastAsia="Arial"/>
          <w:sz w:val="22"/>
          <w:szCs w:val="22"/>
          <w:highlight w:val="white"/>
          <w:lang w:eastAsia="es-AR"/>
        </w:rPr>
        <w:t xml:space="preserve"> Si no se aprueba la posibilidad de defensa hay que notificar al alumno de la resolución de la comisión.</w:t>
      </w:r>
    </w:p>
    <w:p w:rsidR="00CD134F" w:rsidRPr="006A26E8" w:rsidRDefault="00CD134F" w:rsidP="00CD134F">
      <w:pPr>
        <w:ind w:left="850" w:hanging="425"/>
        <w:jc w:val="both"/>
        <w:rPr>
          <w:rFonts w:eastAsia="Arial"/>
          <w:sz w:val="22"/>
          <w:szCs w:val="22"/>
          <w:lang w:eastAsia="es-AR"/>
        </w:rPr>
      </w:pPr>
    </w:p>
    <w:p w:rsidR="00CD134F" w:rsidRPr="006A26E8" w:rsidRDefault="00CD134F" w:rsidP="00CD134F">
      <w:pPr>
        <w:ind w:left="850" w:hanging="425"/>
        <w:jc w:val="both"/>
        <w:rPr>
          <w:rFonts w:eastAsia="Arial"/>
          <w:sz w:val="22"/>
          <w:szCs w:val="22"/>
          <w:lang w:eastAsia="es-AR"/>
        </w:rPr>
      </w:pPr>
      <w:r w:rsidRPr="006A26E8">
        <w:rPr>
          <w:rFonts w:eastAsia="Arial"/>
          <w:sz w:val="22"/>
          <w:szCs w:val="22"/>
          <w:lang w:eastAsia="es-AR"/>
        </w:rPr>
        <w:t xml:space="preserve">e) La Secretaría Académica, el CEDI o la Secretaría de Posgrado informará e  iniciará el trámite para que los </w:t>
      </w:r>
      <w:r w:rsidR="0077590B">
        <w:rPr>
          <w:rFonts w:eastAsia="Arial"/>
          <w:sz w:val="22"/>
          <w:szCs w:val="22"/>
          <w:lang w:eastAsia="es-AR"/>
        </w:rPr>
        <w:t>Consejos de Carreras, ó bien, la</w:t>
      </w:r>
      <w:r w:rsidRPr="006A26E8">
        <w:rPr>
          <w:rFonts w:eastAsia="Arial"/>
          <w:sz w:val="22"/>
          <w:szCs w:val="22"/>
          <w:lang w:eastAsia="es-AR"/>
        </w:rPr>
        <w:t xml:space="preserve"> CAP para las carreras de Posgrado, propongan los jurados correspondientes vía email.</w:t>
      </w:r>
    </w:p>
    <w:p w:rsidR="00CD134F" w:rsidRPr="006A26E8" w:rsidRDefault="00CD134F" w:rsidP="00CD134F">
      <w:pPr>
        <w:ind w:left="850" w:hanging="425"/>
        <w:jc w:val="both"/>
        <w:rPr>
          <w:rFonts w:eastAsia="Arial"/>
          <w:sz w:val="22"/>
          <w:szCs w:val="22"/>
          <w:lang w:eastAsia="es-AR"/>
        </w:rPr>
      </w:pPr>
    </w:p>
    <w:p w:rsidR="00CD134F" w:rsidRDefault="00CD134F" w:rsidP="00CD134F">
      <w:pPr>
        <w:ind w:left="850" w:hanging="425"/>
        <w:jc w:val="both"/>
        <w:rPr>
          <w:rFonts w:eastAsia="Arial"/>
          <w:sz w:val="22"/>
          <w:szCs w:val="22"/>
          <w:lang w:eastAsia="es-AR"/>
        </w:rPr>
      </w:pPr>
      <w:r w:rsidRPr="006A26E8">
        <w:rPr>
          <w:rFonts w:eastAsia="Arial"/>
          <w:sz w:val="22"/>
          <w:szCs w:val="22"/>
          <w:lang w:eastAsia="es-AR"/>
        </w:rPr>
        <w:t>g) Si la defensa es otorgada se GENERA UN AULA MOODLE, como MESA DE FINAL DE TESIS del estudiante “Nombre-Apellido”. La misma estará gestionada desde el CEDI; Secretaría de Postgrado o Secretaría Académica según corresponde. Implica</w:t>
      </w:r>
    </w:p>
    <w:p w:rsidR="0077590B" w:rsidRPr="006A26E8" w:rsidRDefault="0077590B" w:rsidP="00CD134F">
      <w:pPr>
        <w:ind w:left="850" w:hanging="425"/>
        <w:jc w:val="both"/>
        <w:rPr>
          <w:rFonts w:eastAsia="Arial"/>
          <w:sz w:val="22"/>
          <w:szCs w:val="22"/>
          <w:lang w:eastAsia="es-AR"/>
        </w:rPr>
      </w:pPr>
    </w:p>
    <w:p w:rsidR="00CD134F" w:rsidRDefault="00CD134F" w:rsidP="00CD134F">
      <w:pPr>
        <w:numPr>
          <w:ilvl w:val="1"/>
          <w:numId w:val="11"/>
        </w:numPr>
        <w:jc w:val="both"/>
        <w:rPr>
          <w:rFonts w:eastAsia="Arial"/>
          <w:sz w:val="22"/>
          <w:szCs w:val="22"/>
          <w:lang w:eastAsia="es-AR"/>
        </w:rPr>
      </w:pPr>
      <w:r w:rsidRPr="006A26E8">
        <w:rPr>
          <w:rFonts w:eastAsia="Arial"/>
          <w:sz w:val="22"/>
          <w:szCs w:val="22"/>
          <w:lang w:eastAsia="es-AR"/>
        </w:rPr>
        <w:t>Habilitar el acceso de los jurados al Aula virtual.</w:t>
      </w:r>
    </w:p>
    <w:p w:rsidR="0077590B" w:rsidRPr="006A26E8" w:rsidRDefault="0077590B" w:rsidP="0077590B">
      <w:pPr>
        <w:ind w:left="1440"/>
        <w:jc w:val="both"/>
        <w:rPr>
          <w:rFonts w:eastAsia="Arial"/>
          <w:sz w:val="22"/>
          <w:szCs w:val="22"/>
          <w:lang w:eastAsia="es-AR"/>
        </w:rPr>
      </w:pPr>
    </w:p>
    <w:p w:rsidR="00CD134F" w:rsidRDefault="00CD134F" w:rsidP="00CD134F">
      <w:pPr>
        <w:numPr>
          <w:ilvl w:val="1"/>
          <w:numId w:val="11"/>
        </w:numPr>
        <w:jc w:val="both"/>
        <w:rPr>
          <w:rFonts w:eastAsia="Arial"/>
          <w:sz w:val="22"/>
          <w:szCs w:val="22"/>
          <w:highlight w:val="white"/>
          <w:lang w:eastAsia="es-AR"/>
        </w:rPr>
      </w:pPr>
      <w:r w:rsidRPr="006A26E8">
        <w:rPr>
          <w:rFonts w:eastAsia="Arial"/>
          <w:sz w:val="22"/>
          <w:szCs w:val="22"/>
          <w:highlight w:val="white"/>
          <w:lang w:eastAsia="es-AR"/>
        </w:rPr>
        <w:t>Compartir en el Aula, para disponibilidad de los jurados, el archivo de tesis en PDF y la ficha que autoriza a defender la tesis y contiene el primer informe del jurado de la versión escrita para la defensa.</w:t>
      </w:r>
    </w:p>
    <w:p w:rsidR="0077590B" w:rsidRDefault="0077590B" w:rsidP="0077590B">
      <w:pPr>
        <w:pStyle w:val="Prrafodelista"/>
        <w:rPr>
          <w:rFonts w:eastAsia="Arial"/>
          <w:sz w:val="22"/>
          <w:szCs w:val="22"/>
          <w:highlight w:val="white"/>
          <w:lang w:eastAsia="es-AR"/>
        </w:rPr>
      </w:pPr>
    </w:p>
    <w:p w:rsidR="00CD134F" w:rsidRPr="006A26E8" w:rsidRDefault="00CD134F" w:rsidP="00CD134F">
      <w:pPr>
        <w:numPr>
          <w:ilvl w:val="1"/>
          <w:numId w:val="11"/>
        </w:numPr>
        <w:jc w:val="both"/>
        <w:rPr>
          <w:rFonts w:eastAsia="Arial"/>
          <w:sz w:val="22"/>
          <w:szCs w:val="22"/>
          <w:highlight w:val="white"/>
          <w:lang w:eastAsia="es-AR"/>
        </w:rPr>
      </w:pPr>
      <w:r w:rsidRPr="006A26E8">
        <w:rPr>
          <w:rFonts w:eastAsia="Arial"/>
          <w:sz w:val="22"/>
          <w:szCs w:val="22"/>
          <w:highlight w:val="white"/>
          <w:lang w:eastAsia="es-AR"/>
        </w:rPr>
        <w:t>Generar los espacios correspondientes con los tiempos establecidos para que los jurados se expidan.</w:t>
      </w:r>
    </w:p>
    <w:p w:rsidR="00CD134F" w:rsidRPr="006A26E8" w:rsidRDefault="00CD134F" w:rsidP="00CD134F">
      <w:pPr>
        <w:ind w:left="1440" w:firstLine="1125"/>
        <w:jc w:val="both"/>
        <w:rPr>
          <w:rFonts w:eastAsia="Arial"/>
          <w:sz w:val="22"/>
          <w:szCs w:val="22"/>
          <w:lang w:eastAsia="es-AR"/>
        </w:rPr>
      </w:pPr>
    </w:p>
    <w:p w:rsidR="00CD134F" w:rsidRPr="006A26E8" w:rsidRDefault="00CD134F" w:rsidP="00CD134F">
      <w:pPr>
        <w:ind w:left="850" w:hanging="425"/>
        <w:jc w:val="both"/>
        <w:rPr>
          <w:rFonts w:eastAsia="Arial"/>
          <w:sz w:val="22"/>
          <w:szCs w:val="22"/>
          <w:lang w:eastAsia="es-AR"/>
        </w:rPr>
      </w:pPr>
      <w:r w:rsidRPr="006A26E8">
        <w:rPr>
          <w:rFonts w:eastAsia="Arial"/>
          <w:sz w:val="22"/>
          <w:szCs w:val="22"/>
          <w:lang w:eastAsia="es-AR"/>
        </w:rPr>
        <w:t>h) La fecha de defensa oral de la Tesis será notificada a Dirección Alumnos por la Secretaría que corresponda para confeccionar las actas de examen.</w:t>
      </w:r>
    </w:p>
    <w:p w:rsidR="00CD134F" w:rsidRPr="006A26E8" w:rsidRDefault="00CD134F" w:rsidP="00CD134F">
      <w:pPr>
        <w:ind w:left="850" w:hanging="425"/>
        <w:jc w:val="both"/>
        <w:rPr>
          <w:rFonts w:eastAsia="Arial"/>
          <w:sz w:val="22"/>
          <w:szCs w:val="22"/>
          <w:lang w:eastAsia="es-AR"/>
        </w:rPr>
      </w:pPr>
    </w:p>
    <w:p w:rsidR="00CD134F" w:rsidRPr="006A26E8" w:rsidRDefault="00CD134F" w:rsidP="00CD134F">
      <w:pPr>
        <w:jc w:val="both"/>
        <w:rPr>
          <w:rFonts w:eastAsia="Arial"/>
          <w:b/>
          <w:sz w:val="22"/>
          <w:szCs w:val="22"/>
          <w:lang w:eastAsia="es-AR"/>
        </w:rPr>
      </w:pPr>
      <w:r w:rsidRPr="006A26E8">
        <w:rPr>
          <w:rFonts w:eastAsia="Arial"/>
          <w:sz w:val="22"/>
          <w:szCs w:val="22"/>
          <w:lang w:eastAsia="es-AR"/>
        </w:rPr>
        <w:br w:type="page"/>
      </w:r>
    </w:p>
    <w:p w:rsidR="00CD134F" w:rsidRDefault="00CD134F" w:rsidP="00CD134F">
      <w:pPr>
        <w:jc w:val="both"/>
        <w:rPr>
          <w:rFonts w:eastAsia="Arial"/>
          <w:b/>
          <w:sz w:val="22"/>
          <w:szCs w:val="22"/>
          <w:lang w:eastAsia="es-AR"/>
        </w:rPr>
      </w:pPr>
      <w:r w:rsidRPr="006A26E8">
        <w:rPr>
          <w:rFonts w:eastAsia="Arial"/>
          <w:b/>
          <w:sz w:val="22"/>
          <w:szCs w:val="22"/>
          <w:lang w:eastAsia="es-AR"/>
        </w:rPr>
        <w:lastRenderedPageBreak/>
        <w:t xml:space="preserve">2.) Proceso para la defensa de tesis </w:t>
      </w:r>
    </w:p>
    <w:p w:rsidR="0077590B" w:rsidRPr="006A26E8" w:rsidRDefault="0077590B" w:rsidP="00CD134F">
      <w:pPr>
        <w:jc w:val="both"/>
        <w:rPr>
          <w:rFonts w:eastAsia="Arial"/>
          <w:b/>
          <w:sz w:val="22"/>
          <w:szCs w:val="22"/>
          <w:lang w:eastAsia="es-AR"/>
        </w:rPr>
      </w:pPr>
    </w:p>
    <w:p w:rsidR="00CD134F" w:rsidRDefault="00CD134F" w:rsidP="00CD134F">
      <w:pPr>
        <w:jc w:val="both"/>
        <w:rPr>
          <w:rFonts w:eastAsia="Arial"/>
          <w:sz w:val="22"/>
          <w:szCs w:val="22"/>
          <w:highlight w:val="white"/>
          <w:lang w:eastAsia="es-AR"/>
        </w:rPr>
      </w:pPr>
      <w:r w:rsidRPr="006A26E8">
        <w:rPr>
          <w:rFonts w:eastAsia="Arial"/>
          <w:sz w:val="22"/>
          <w:szCs w:val="22"/>
          <w:lang w:eastAsia="es-AR"/>
        </w:rPr>
        <w:t xml:space="preserve">La Secretaría Académica, de Investigación y Posgrado, o CEDI arbitrará el medio de comunicación que considerase adecuado para llevar adelante el examen de defensa de tesis de manera no presencial, siempre que se garanticen las condiciones de seguridad, confiabilidad y registro del acto. Se propone el uso de la plataforma Google </w:t>
      </w:r>
      <w:proofErr w:type="spellStart"/>
      <w:r w:rsidRPr="006A26E8">
        <w:rPr>
          <w:rFonts w:eastAsia="Arial"/>
          <w:sz w:val="22"/>
          <w:szCs w:val="22"/>
          <w:lang w:eastAsia="es-AR"/>
        </w:rPr>
        <w:t>Meet</w:t>
      </w:r>
      <w:proofErr w:type="spellEnd"/>
      <w:r w:rsidRPr="006A26E8">
        <w:rPr>
          <w:rFonts w:eastAsia="Arial"/>
          <w:sz w:val="22"/>
          <w:szCs w:val="22"/>
          <w:lang w:eastAsia="es-AR"/>
        </w:rPr>
        <w:t xml:space="preserve"> o similar hasta tanto exista el desarrollo del software que permita su </w:t>
      </w:r>
      <w:r w:rsidRPr="006A26E8">
        <w:rPr>
          <w:rFonts w:eastAsia="Arial"/>
          <w:sz w:val="22"/>
          <w:szCs w:val="22"/>
          <w:highlight w:val="white"/>
          <w:lang w:eastAsia="es-AR"/>
        </w:rPr>
        <w:t>implementación desde la propia Aula MOODLE.</w:t>
      </w:r>
    </w:p>
    <w:p w:rsidR="003938DD" w:rsidRPr="006A26E8" w:rsidRDefault="003938DD" w:rsidP="00CD134F">
      <w:pPr>
        <w:jc w:val="both"/>
        <w:rPr>
          <w:rFonts w:eastAsia="Arial"/>
          <w:sz w:val="22"/>
          <w:szCs w:val="22"/>
          <w:highlight w:val="white"/>
          <w:lang w:eastAsia="es-AR"/>
        </w:rPr>
      </w:pPr>
    </w:p>
    <w:p w:rsidR="00CD134F" w:rsidRPr="006A26E8" w:rsidRDefault="00CD134F" w:rsidP="00CD134F">
      <w:pPr>
        <w:numPr>
          <w:ilvl w:val="0"/>
          <w:numId w:val="7"/>
        </w:numPr>
        <w:jc w:val="both"/>
        <w:rPr>
          <w:rFonts w:eastAsia="Arial"/>
          <w:sz w:val="22"/>
          <w:szCs w:val="22"/>
          <w:highlight w:val="white"/>
          <w:lang w:eastAsia="es-AR"/>
        </w:rPr>
      </w:pPr>
      <w:r w:rsidRPr="006A26E8">
        <w:rPr>
          <w:rFonts w:eastAsia="Arial"/>
          <w:sz w:val="22"/>
          <w:szCs w:val="22"/>
          <w:highlight w:val="white"/>
          <w:lang w:eastAsia="es-AR"/>
        </w:rPr>
        <w:t xml:space="preserve">El acta de examen de tesis estará a disposición del jurado en el sistema SIU Guaraní. El responsable de cargar la nota a dicho Sistema, en el caso de las carreras de grado, presencial y a distancia, será el Presidente de mesa (Director/a de tesis) y los restantes jurados podrán corroborar la misma accediendo al sistema. Para el caso de las carreras de posgrado, quedará encargado de cargar la nota en el Sistema SIU GUARANÍ el docente local del jurado. </w:t>
      </w:r>
    </w:p>
    <w:p w:rsidR="00CD134F" w:rsidRPr="006A26E8" w:rsidRDefault="00CD134F" w:rsidP="00CD134F">
      <w:pPr>
        <w:numPr>
          <w:ilvl w:val="0"/>
          <w:numId w:val="7"/>
        </w:numPr>
        <w:jc w:val="both"/>
        <w:rPr>
          <w:rFonts w:eastAsia="Arial"/>
          <w:sz w:val="22"/>
          <w:szCs w:val="22"/>
          <w:highlight w:val="white"/>
          <w:lang w:eastAsia="es-AR"/>
        </w:rPr>
      </w:pPr>
      <w:r w:rsidRPr="006A26E8">
        <w:rPr>
          <w:rFonts w:eastAsia="Arial"/>
          <w:sz w:val="22"/>
          <w:szCs w:val="22"/>
          <w:lang w:eastAsia="es-AR"/>
        </w:rPr>
        <w:t xml:space="preserve">En la fecha y hora convenidas se procede a la Defensa de la tesis en la que deberán participar virtualmente y en forma conjunta, el </w:t>
      </w:r>
      <w:proofErr w:type="spellStart"/>
      <w:r w:rsidRPr="006A26E8">
        <w:rPr>
          <w:rFonts w:eastAsia="Arial"/>
          <w:sz w:val="22"/>
          <w:szCs w:val="22"/>
          <w:lang w:eastAsia="es-AR"/>
        </w:rPr>
        <w:t>tesista</w:t>
      </w:r>
      <w:proofErr w:type="spellEnd"/>
      <w:r w:rsidRPr="006A26E8">
        <w:rPr>
          <w:rFonts w:eastAsia="Arial"/>
          <w:sz w:val="22"/>
          <w:szCs w:val="22"/>
          <w:lang w:eastAsia="es-AR"/>
        </w:rPr>
        <w:t>, sus directores, los jurados. Participara también del proceso de manera remota el secretario académico ó de posgrado (o en su defecto una autoridad que éstos designen) como garantes del acto ante cualquier eventualidad. Esta instancia deberá ser grabada y los jurados y el estudiante deberán acreditar identidad mediante el DNI mostrado a cámara.</w:t>
      </w:r>
    </w:p>
    <w:p w:rsidR="00CD134F" w:rsidRPr="006A26E8" w:rsidRDefault="00CD134F" w:rsidP="00CD134F">
      <w:pPr>
        <w:numPr>
          <w:ilvl w:val="0"/>
          <w:numId w:val="7"/>
        </w:numPr>
        <w:jc w:val="both"/>
        <w:rPr>
          <w:rFonts w:eastAsia="Arial"/>
          <w:sz w:val="22"/>
          <w:szCs w:val="22"/>
          <w:lang w:eastAsia="es-AR"/>
        </w:rPr>
      </w:pPr>
      <w:r w:rsidRPr="006A26E8">
        <w:rPr>
          <w:rFonts w:eastAsia="Arial"/>
          <w:sz w:val="22"/>
          <w:szCs w:val="22"/>
          <w:lang w:eastAsia="es-AR"/>
        </w:rPr>
        <w:t>Existirá una tolerancia de 30 minutos para esperar que los participantes se conecten al medio de comunicación establecido. En caso de que no se logre con éxito la conexión o que la calidad de la misma impida al tribunal/</w:t>
      </w:r>
      <w:proofErr w:type="spellStart"/>
      <w:r w:rsidRPr="006A26E8">
        <w:rPr>
          <w:rFonts w:eastAsia="Arial"/>
          <w:sz w:val="22"/>
          <w:szCs w:val="22"/>
          <w:lang w:eastAsia="es-AR"/>
        </w:rPr>
        <w:t>tesista</w:t>
      </w:r>
      <w:proofErr w:type="spellEnd"/>
      <w:r w:rsidRPr="006A26E8">
        <w:rPr>
          <w:rFonts w:eastAsia="Arial"/>
          <w:sz w:val="22"/>
          <w:szCs w:val="22"/>
          <w:lang w:eastAsia="es-AR"/>
        </w:rPr>
        <w:t xml:space="preserve"> seguir la exposición en el tiempo pautado; el tribunal podrá decidir la suspensión de la mesa la cual se reprogramará para una nueva fecha y horario a convenir entre los participantes.</w:t>
      </w:r>
    </w:p>
    <w:p w:rsidR="00CD134F" w:rsidRPr="006A26E8" w:rsidRDefault="00CD134F" w:rsidP="00CD134F">
      <w:pPr>
        <w:numPr>
          <w:ilvl w:val="0"/>
          <w:numId w:val="7"/>
        </w:numPr>
        <w:jc w:val="both"/>
        <w:rPr>
          <w:rFonts w:eastAsia="Arial"/>
          <w:sz w:val="22"/>
          <w:szCs w:val="22"/>
          <w:highlight w:val="white"/>
          <w:lang w:eastAsia="es-AR"/>
        </w:rPr>
      </w:pPr>
      <w:r w:rsidRPr="006A26E8">
        <w:rPr>
          <w:rFonts w:eastAsia="Arial"/>
          <w:sz w:val="22"/>
          <w:szCs w:val="22"/>
          <w:lang w:eastAsia="es-AR"/>
        </w:rPr>
        <w:t xml:space="preserve">Al finalizar la instancia de defensa, sólo los jurados quedarán en comunicación con interrupción de la grabación a fin de que deliberen y dictaminen sobre la tesis defendida, para luego volver a conectar con el </w:t>
      </w:r>
      <w:proofErr w:type="spellStart"/>
      <w:r w:rsidRPr="006A26E8">
        <w:rPr>
          <w:rFonts w:eastAsia="Arial"/>
          <w:sz w:val="22"/>
          <w:szCs w:val="22"/>
          <w:lang w:eastAsia="es-AR"/>
        </w:rPr>
        <w:t>tesista</w:t>
      </w:r>
      <w:proofErr w:type="spellEnd"/>
      <w:r w:rsidRPr="006A26E8">
        <w:rPr>
          <w:rFonts w:eastAsia="Arial"/>
          <w:sz w:val="22"/>
          <w:szCs w:val="22"/>
          <w:lang w:eastAsia="es-AR"/>
        </w:rPr>
        <w:t xml:space="preserve"> y comunicarle su devolución. En caso de ser tesis de Posgrado el dictamen se deberá subir al Aula virtual, quedando disponible en la misma. El responsable de cargar el dictamen (si correspondiere)  al Aula Virtual es la misma persona encargada de subir la nota del Sistema SIU GUARANI. Asimismo, cada miembro del tribunal </w:t>
      </w:r>
      <w:r w:rsidRPr="006A26E8">
        <w:rPr>
          <w:rFonts w:eastAsia="Arial"/>
          <w:sz w:val="22"/>
          <w:szCs w:val="22"/>
          <w:highlight w:val="white"/>
          <w:lang w:eastAsia="es-AR"/>
        </w:rPr>
        <w:t xml:space="preserve">hará copia del acta de SIU que contiene la nota </w:t>
      </w:r>
      <w:r w:rsidRPr="006A26E8">
        <w:rPr>
          <w:rFonts w:eastAsia="Arial"/>
          <w:sz w:val="22"/>
          <w:szCs w:val="22"/>
          <w:lang w:eastAsia="es-AR"/>
        </w:rPr>
        <w:t>y la subirá al aula en el espacio determinado para tal fin para que quede registro de lo actuado, como expresión de conformidad.</w:t>
      </w:r>
    </w:p>
    <w:p w:rsidR="00CD134F" w:rsidRPr="006A26E8" w:rsidRDefault="00CD134F" w:rsidP="00CD134F">
      <w:pPr>
        <w:numPr>
          <w:ilvl w:val="0"/>
          <w:numId w:val="7"/>
        </w:numPr>
        <w:jc w:val="both"/>
        <w:rPr>
          <w:rFonts w:eastAsia="Arial"/>
          <w:sz w:val="22"/>
          <w:szCs w:val="22"/>
          <w:highlight w:val="white"/>
          <w:lang w:eastAsia="es-AR"/>
        </w:rPr>
      </w:pPr>
      <w:r w:rsidRPr="006A26E8">
        <w:rPr>
          <w:rFonts w:eastAsia="Arial"/>
          <w:sz w:val="22"/>
          <w:szCs w:val="22"/>
          <w:lang w:eastAsia="es-AR"/>
        </w:rPr>
        <w:t>Las actas en formato papel serán firmadas por la/s  Autoridad/es que intervinieron en el proceso de sustanciación de la defensa de tesis.</w:t>
      </w:r>
    </w:p>
    <w:p w:rsidR="00CD134F" w:rsidRPr="006A26E8" w:rsidRDefault="00CD134F" w:rsidP="00CD134F">
      <w:pPr>
        <w:numPr>
          <w:ilvl w:val="0"/>
          <w:numId w:val="7"/>
        </w:numPr>
        <w:jc w:val="both"/>
        <w:rPr>
          <w:rFonts w:eastAsia="Arial"/>
          <w:sz w:val="22"/>
          <w:szCs w:val="22"/>
          <w:highlight w:val="white"/>
          <w:lang w:eastAsia="es-AR"/>
        </w:rPr>
      </w:pPr>
      <w:r w:rsidRPr="006A26E8">
        <w:rPr>
          <w:rFonts w:eastAsia="Arial"/>
          <w:sz w:val="22"/>
          <w:szCs w:val="22"/>
          <w:lang w:eastAsia="es-AR"/>
        </w:rPr>
        <w:t xml:space="preserve">Finalizado el proceso la Dirección de Alumnos cerrará el acta correspondiente. </w:t>
      </w:r>
    </w:p>
    <w:p w:rsidR="00CD134F" w:rsidRPr="006A26E8" w:rsidRDefault="00CD134F" w:rsidP="00CD134F">
      <w:pPr>
        <w:ind w:left="1485" w:hanging="360"/>
        <w:jc w:val="both"/>
        <w:rPr>
          <w:rFonts w:eastAsia="Arial"/>
          <w:sz w:val="22"/>
          <w:szCs w:val="22"/>
          <w:lang w:eastAsia="es-AR"/>
        </w:rPr>
      </w:pPr>
    </w:p>
    <w:p w:rsidR="00CD134F" w:rsidRPr="006A26E8" w:rsidRDefault="00CD134F" w:rsidP="00CD134F">
      <w:pPr>
        <w:ind w:left="1125"/>
        <w:jc w:val="both"/>
        <w:rPr>
          <w:rFonts w:eastAsia="Arial"/>
          <w:b/>
          <w:sz w:val="22"/>
          <w:szCs w:val="22"/>
          <w:lang w:eastAsia="es-AR"/>
        </w:rPr>
      </w:pPr>
      <w:r w:rsidRPr="006A26E8">
        <w:rPr>
          <w:rFonts w:eastAsia="Arial"/>
          <w:sz w:val="22"/>
          <w:szCs w:val="22"/>
          <w:lang w:eastAsia="es-AR"/>
        </w:rPr>
        <w:br w:type="page"/>
      </w:r>
    </w:p>
    <w:p w:rsidR="00CD134F" w:rsidRPr="006A26E8" w:rsidRDefault="00CD134F" w:rsidP="00CD134F">
      <w:pPr>
        <w:jc w:val="both"/>
        <w:rPr>
          <w:rFonts w:eastAsia="Arial"/>
          <w:b/>
          <w:sz w:val="22"/>
          <w:szCs w:val="22"/>
          <w:lang w:eastAsia="es-AR"/>
        </w:rPr>
      </w:pPr>
      <w:r w:rsidRPr="006A26E8">
        <w:rPr>
          <w:rFonts w:eastAsia="Arial"/>
          <w:b/>
          <w:sz w:val="22"/>
          <w:szCs w:val="22"/>
          <w:lang w:eastAsia="es-AR"/>
        </w:rPr>
        <w:lastRenderedPageBreak/>
        <w:t>3. Procesos posteriores a la defensa</w:t>
      </w:r>
    </w:p>
    <w:p w:rsidR="00CD134F" w:rsidRPr="006A26E8" w:rsidRDefault="00CD134F" w:rsidP="00CD134F">
      <w:pPr>
        <w:jc w:val="both"/>
        <w:rPr>
          <w:rFonts w:eastAsia="Arial"/>
          <w:b/>
          <w:sz w:val="22"/>
          <w:szCs w:val="22"/>
          <w:lang w:eastAsia="es-AR"/>
        </w:rPr>
      </w:pPr>
    </w:p>
    <w:p w:rsidR="00CD134F" w:rsidRPr="006A26E8" w:rsidRDefault="00CD134F" w:rsidP="00CD134F">
      <w:pPr>
        <w:numPr>
          <w:ilvl w:val="0"/>
          <w:numId w:val="8"/>
        </w:numPr>
        <w:jc w:val="both"/>
        <w:rPr>
          <w:rFonts w:eastAsia="Arial"/>
          <w:sz w:val="22"/>
          <w:szCs w:val="22"/>
          <w:lang w:eastAsia="es-AR"/>
        </w:rPr>
      </w:pPr>
      <w:r w:rsidRPr="006A26E8">
        <w:rPr>
          <w:rFonts w:eastAsia="Arial"/>
          <w:sz w:val="22"/>
          <w:szCs w:val="22"/>
          <w:lang w:eastAsia="es-AR"/>
        </w:rPr>
        <w:t>El estudiante se compromete a la PRESENTACIÓN DEL FORMULARIO RIDAA: enviando el mismo por correo postal con la firma correspondiente. El mismo será re enviado al alumno con la firmas de las autoridades correspondientes.</w:t>
      </w:r>
    </w:p>
    <w:p w:rsidR="00CD134F" w:rsidRPr="006A26E8" w:rsidRDefault="00CD134F" w:rsidP="00CD134F">
      <w:pPr>
        <w:numPr>
          <w:ilvl w:val="0"/>
          <w:numId w:val="8"/>
        </w:numPr>
        <w:jc w:val="both"/>
        <w:rPr>
          <w:rFonts w:eastAsia="Arial"/>
          <w:sz w:val="22"/>
          <w:szCs w:val="22"/>
          <w:lang w:eastAsia="es-AR"/>
        </w:rPr>
      </w:pPr>
      <w:r w:rsidRPr="006A26E8">
        <w:rPr>
          <w:rFonts w:eastAsia="Arial"/>
          <w:sz w:val="22"/>
          <w:szCs w:val="22"/>
          <w:highlight w:val="white"/>
          <w:lang w:eastAsia="es-AR"/>
        </w:rPr>
        <w:t xml:space="preserve">Antes de iniciar el trámite de título cuando el estudiante compruebe la nota cargada en el Sistema procederá a solicitar a la Dirección de Alumnos un certificado de finalización vía correo electrónico o a través del SIU </w:t>
      </w:r>
      <w:proofErr w:type="spellStart"/>
      <w:r w:rsidRPr="006A26E8">
        <w:rPr>
          <w:rFonts w:eastAsia="Arial"/>
          <w:sz w:val="22"/>
          <w:szCs w:val="22"/>
          <w:highlight w:val="white"/>
          <w:lang w:eastAsia="es-AR"/>
        </w:rPr>
        <w:t>Gurani</w:t>
      </w:r>
      <w:proofErr w:type="spellEnd"/>
      <w:r w:rsidRPr="006A26E8">
        <w:rPr>
          <w:rFonts w:eastAsia="Arial"/>
          <w:sz w:val="22"/>
          <w:szCs w:val="22"/>
          <w:highlight w:val="white"/>
          <w:lang w:eastAsia="es-AR"/>
        </w:rPr>
        <w:t>,  el cual estará listo a los 10 días de solicitado.</w:t>
      </w:r>
    </w:p>
    <w:p w:rsidR="00CD134F" w:rsidRPr="006A26E8" w:rsidRDefault="00CD134F" w:rsidP="00CD134F">
      <w:pPr>
        <w:ind w:left="720"/>
        <w:jc w:val="both"/>
        <w:rPr>
          <w:rFonts w:eastAsia="Arial"/>
          <w:sz w:val="22"/>
          <w:szCs w:val="22"/>
          <w:highlight w:val="white"/>
          <w:lang w:eastAsia="es-AR"/>
        </w:rPr>
      </w:pPr>
    </w:p>
    <w:p w:rsidR="00CD134F" w:rsidRPr="006A26E8" w:rsidRDefault="00CD134F" w:rsidP="00CD134F">
      <w:pPr>
        <w:numPr>
          <w:ilvl w:val="0"/>
          <w:numId w:val="8"/>
        </w:numPr>
        <w:jc w:val="both"/>
        <w:rPr>
          <w:rFonts w:eastAsia="Arial"/>
          <w:sz w:val="22"/>
          <w:szCs w:val="22"/>
          <w:highlight w:val="white"/>
          <w:lang w:eastAsia="es-AR"/>
        </w:rPr>
      </w:pPr>
      <w:r w:rsidRPr="006A26E8">
        <w:rPr>
          <w:rFonts w:eastAsia="Arial"/>
          <w:sz w:val="22"/>
          <w:szCs w:val="22"/>
          <w:highlight w:val="white"/>
          <w:lang w:eastAsia="es-AR"/>
        </w:rPr>
        <w:t xml:space="preserve">La documentación a presentar para iniciar el trámite de título es : </w:t>
      </w:r>
    </w:p>
    <w:p w:rsidR="00CD134F" w:rsidRPr="006A26E8" w:rsidRDefault="00CD134F" w:rsidP="00CD134F">
      <w:pPr>
        <w:numPr>
          <w:ilvl w:val="0"/>
          <w:numId w:val="10"/>
        </w:numPr>
        <w:jc w:val="both"/>
        <w:rPr>
          <w:rFonts w:eastAsia="Arial"/>
          <w:sz w:val="22"/>
          <w:szCs w:val="22"/>
          <w:highlight w:val="white"/>
          <w:lang w:eastAsia="es-AR"/>
        </w:rPr>
      </w:pPr>
      <w:r w:rsidRPr="006A26E8">
        <w:rPr>
          <w:rFonts w:eastAsia="Arial"/>
          <w:sz w:val="22"/>
          <w:szCs w:val="22"/>
          <w:highlight w:val="white"/>
          <w:lang w:eastAsia="es-AR"/>
        </w:rPr>
        <w:t xml:space="preserve">Copia del título secundario y/o superior según corresponda. </w:t>
      </w:r>
    </w:p>
    <w:p w:rsidR="00CD134F" w:rsidRPr="006A26E8" w:rsidRDefault="00CD134F" w:rsidP="00CD134F">
      <w:pPr>
        <w:numPr>
          <w:ilvl w:val="0"/>
          <w:numId w:val="10"/>
        </w:numPr>
        <w:jc w:val="both"/>
        <w:rPr>
          <w:rFonts w:eastAsia="Arial"/>
          <w:sz w:val="22"/>
          <w:szCs w:val="22"/>
          <w:highlight w:val="white"/>
          <w:lang w:eastAsia="es-AR"/>
        </w:rPr>
      </w:pPr>
      <w:r w:rsidRPr="006A26E8">
        <w:rPr>
          <w:rFonts w:eastAsia="Arial"/>
          <w:sz w:val="22"/>
          <w:szCs w:val="22"/>
          <w:highlight w:val="white"/>
          <w:lang w:eastAsia="es-AR"/>
        </w:rPr>
        <w:t>Copia del DNI</w:t>
      </w:r>
    </w:p>
    <w:p w:rsidR="00CD134F" w:rsidRPr="006A26E8" w:rsidRDefault="00CD134F" w:rsidP="00CD134F">
      <w:pPr>
        <w:numPr>
          <w:ilvl w:val="0"/>
          <w:numId w:val="10"/>
        </w:numPr>
        <w:jc w:val="both"/>
        <w:rPr>
          <w:rFonts w:eastAsia="Arial"/>
          <w:sz w:val="22"/>
          <w:szCs w:val="22"/>
          <w:highlight w:val="white"/>
          <w:lang w:eastAsia="es-AR"/>
        </w:rPr>
      </w:pPr>
      <w:r w:rsidRPr="006A26E8">
        <w:rPr>
          <w:rFonts w:eastAsia="Arial"/>
          <w:sz w:val="22"/>
          <w:szCs w:val="22"/>
          <w:highlight w:val="white"/>
          <w:lang w:eastAsia="es-AR"/>
        </w:rPr>
        <w:t>Copia de la Partida de Nacimiento</w:t>
      </w:r>
    </w:p>
    <w:p w:rsidR="00CD134F" w:rsidRPr="006A26E8" w:rsidRDefault="00CD134F" w:rsidP="00CD134F">
      <w:pPr>
        <w:numPr>
          <w:ilvl w:val="0"/>
          <w:numId w:val="10"/>
        </w:numPr>
        <w:jc w:val="both"/>
        <w:rPr>
          <w:rFonts w:eastAsia="Arial"/>
          <w:sz w:val="22"/>
          <w:szCs w:val="22"/>
          <w:highlight w:val="white"/>
          <w:lang w:eastAsia="es-AR"/>
        </w:rPr>
      </w:pPr>
      <w:r w:rsidRPr="006A26E8">
        <w:rPr>
          <w:rFonts w:eastAsia="Arial"/>
          <w:sz w:val="22"/>
          <w:szCs w:val="22"/>
          <w:highlight w:val="white"/>
          <w:lang w:eastAsia="es-AR"/>
        </w:rPr>
        <w:t xml:space="preserve">Libre deuda de biblioteca </w:t>
      </w:r>
    </w:p>
    <w:p w:rsidR="00CD134F" w:rsidRPr="006A26E8" w:rsidRDefault="00CD134F" w:rsidP="00CD134F">
      <w:pPr>
        <w:ind w:left="720"/>
        <w:jc w:val="both"/>
        <w:rPr>
          <w:rFonts w:eastAsia="Arial"/>
          <w:sz w:val="22"/>
          <w:szCs w:val="22"/>
          <w:highlight w:val="white"/>
          <w:lang w:eastAsia="es-AR"/>
        </w:rPr>
      </w:pPr>
      <w:r w:rsidRPr="006A26E8">
        <w:rPr>
          <w:rFonts w:eastAsia="Arial"/>
          <w:sz w:val="22"/>
          <w:szCs w:val="22"/>
          <w:highlight w:val="white"/>
          <w:lang w:eastAsia="es-AR"/>
        </w:rPr>
        <w:t>Esta documentación el alumno deberá enviarla por correo electrónico a la F</w:t>
      </w:r>
      <w:r w:rsidR="003938DD">
        <w:rPr>
          <w:rFonts w:eastAsia="Arial"/>
          <w:sz w:val="22"/>
          <w:szCs w:val="22"/>
          <w:highlight w:val="white"/>
          <w:lang w:eastAsia="es-AR"/>
        </w:rPr>
        <w:t xml:space="preserve">acultad de </w:t>
      </w:r>
      <w:r w:rsidRPr="006A26E8">
        <w:rPr>
          <w:rFonts w:eastAsia="Arial"/>
          <w:sz w:val="22"/>
          <w:szCs w:val="22"/>
          <w:highlight w:val="white"/>
          <w:lang w:eastAsia="es-AR"/>
        </w:rPr>
        <w:t>C</w:t>
      </w:r>
      <w:r w:rsidR="003938DD">
        <w:rPr>
          <w:rFonts w:eastAsia="Arial"/>
          <w:sz w:val="22"/>
          <w:szCs w:val="22"/>
          <w:highlight w:val="white"/>
          <w:lang w:eastAsia="es-AR"/>
        </w:rPr>
        <w:t xml:space="preserve">iencias </w:t>
      </w:r>
      <w:r w:rsidRPr="006A26E8">
        <w:rPr>
          <w:rFonts w:eastAsia="Arial"/>
          <w:sz w:val="22"/>
          <w:szCs w:val="22"/>
          <w:highlight w:val="white"/>
          <w:lang w:eastAsia="es-AR"/>
        </w:rPr>
        <w:t>H</w:t>
      </w:r>
      <w:r w:rsidR="003938DD">
        <w:rPr>
          <w:rFonts w:eastAsia="Arial"/>
          <w:sz w:val="22"/>
          <w:szCs w:val="22"/>
          <w:highlight w:val="white"/>
          <w:lang w:eastAsia="es-AR"/>
        </w:rPr>
        <w:t>umanas.</w:t>
      </w:r>
      <w:r w:rsidRPr="006A26E8">
        <w:rPr>
          <w:rFonts w:eastAsia="Arial"/>
          <w:sz w:val="22"/>
          <w:szCs w:val="22"/>
          <w:highlight w:val="white"/>
          <w:lang w:eastAsia="es-AR"/>
        </w:rPr>
        <w:t xml:space="preserve"> </w:t>
      </w:r>
    </w:p>
    <w:p w:rsidR="00CD134F" w:rsidRPr="006A26E8" w:rsidRDefault="00CD134F" w:rsidP="00CD134F">
      <w:pPr>
        <w:ind w:left="720"/>
        <w:jc w:val="both"/>
        <w:rPr>
          <w:rFonts w:eastAsia="Arial"/>
          <w:sz w:val="22"/>
          <w:szCs w:val="22"/>
          <w:highlight w:val="white"/>
          <w:lang w:eastAsia="es-AR"/>
        </w:rPr>
      </w:pPr>
      <w:r w:rsidRPr="006A26E8">
        <w:rPr>
          <w:rFonts w:eastAsia="Arial"/>
          <w:sz w:val="22"/>
          <w:szCs w:val="22"/>
          <w:highlight w:val="white"/>
          <w:lang w:eastAsia="es-AR"/>
        </w:rPr>
        <w:t>Además de la documentación antes mencionada tiene que presentar:</w:t>
      </w:r>
    </w:p>
    <w:p w:rsidR="00CD134F" w:rsidRPr="006A26E8" w:rsidRDefault="00CD134F" w:rsidP="00CD134F">
      <w:pPr>
        <w:numPr>
          <w:ilvl w:val="0"/>
          <w:numId w:val="6"/>
        </w:numPr>
        <w:jc w:val="both"/>
        <w:rPr>
          <w:rFonts w:eastAsia="Arial"/>
          <w:sz w:val="22"/>
          <w:szCs w:val="22"/>
          <w:highlight w:val="white"/>
          <w:lang w:eastAsia="es-AR"/>
        </w:rPr>
      </w:pPr>
      <w:r w:rsidRPr="006A26E8">
        <w:rPr>
          <w:rFonts w:eastAsia="Arial"/>
          <w:sz w:val="22"/>
          <w:szCs w:val="22"/>
          <w:highlight w:val="white"/>
          <w:lang w:eastAsia="es-AR"/>
        </w:rPr>
        <w:t>Carta a la decana solicitando el inicio del trámite</w:t>
      </w:r>
    </w:p>
    <w:p w:rsidR="00CD134F" w:rsidRPr="006A26E8" w:rsidRDefault="00CD134F" w:rsidP="00CD134F">
      <w:pPr>
        <w:numPr>
          <w:ilvl w:val="0"/>
          <w:numId w:val="6"/>
        </w:numPr>
        <w:jc w:val="both"/>
        <w:rPr>
          <w:rFonts w:eastAsia="Arial"/>
          <w:sz w:val="22"/>
          <w:szCs w:val="22"/>
          <w:highlight w:val="white"/>
          <w:lang w:eastAsia="es-AR"/>
        </w:rPr>
      </w:pPr>
      <w:r w:rsidRPr="006A26E8">
        <w:rPr>
          <w:rFonts w:eastAsia="Arial"/>
          <w:sz w:val="22"/>
          <w:szCs w:val="22"/>
          <w:highlight w:val="white"/>
          <w:lang w:eastAsia="es-AR"/>
        </w:rPr>
        <w:t>Completar una planilla de solicitud que estará disponible en el sistema o le será enviada.</w:t>
      </w:r>
    </w:p>
    <w:p w:rsidR="00DC03E9" w:rsidRDefault="00CD134F" w:rsidP="00CD134F">
      <w:pPr>
        <w:numPr>
          <w:ilvl w:val="0"/>
          <w:numId w:val="8"/>
        </w:numPr>
        <w:jc w:val="both"/>
        <w:rPr>
          <w:rFonts w:eastAsia="Arial"/>
          <w:sz w:val="22"/>
          <w:szCs w:val="22"/>
          <w:highlight w:val="white"/>
          <w:lang w:eastAsia="es-AR"/>
        </w:rPr>
      </w:pPr>
      <w:r w:rsidRPr="006A26E8">
        <w:rPr>
          <w:rFonts w:eastAsia="Arial"/>
          <w:sz w:val="22"/>
          <w:szCs w:val="22"/>
          <w:highlight w:val="white"/>
          <w:lang w:eastAsia="es-AR"/>
        </w:rPr>
        <w:t xml:space="preserve"> A partir de allí se debería iniciar el expediente para el </w:t>
      </w:r>
      <w:r w:rsidR="003938DD" w:rsidRPr="006A26E8">
        <w:rPr>
          <w:rFonts w:eastAsia="Arial"/>
          <w:sz w:val="22"/>
          <w:szCs w:val="22"/>
          <w:highlight w:val="white"/>
          <w:lang w:eastAsia="es-AR"/>
        </w:rPr>
        <w:t>trámite</w:t>
      </w:r>
      <w:r w:rsidRPr="006A26E8">
        <w:rPr>
          <w:rFonts w:eastAsia="Arial"/>
          <w:sz w:val="22"/>
          <w:szCs w:val="22"/>
          <w:highlight w:val="white"/>
          <w:lang w:eastAsia="es-AR"/>
        </w:rPr>
        <w:t xml:space="preserve"> del </w:t>
      </w:r>
      <w:r w:rsidR="003938DD" w:rsidRPr="006A26E8">
        <w:rPr>
          <w:rFonts w:eastAsia="Arial"/>
          <w:sz w:val="22"/>
          <w:szCs w:val="22"/>
          <w:highlight w:val="white"/>
          <w:lang w:eastAsia="es-AR"/>
        </w:rPr>
        <w:t>título</w:t>
      </w:r>
      <w:r w:rsidRPr="006A26E8">
        <w:rPr>
          <w:rFonts w:eastAsia="Arial"/>
          <w:sz w:val="22"/>
          <w:szCs w:val="22"/>
          <w:highlight w:val="white"/>
          <w:lang w:eastAsia="es-AR"/>
        </w:rPr>
        <w:t>, en concordancia con lo dispues</w:t>
      </w:r>
      <w:r w:rsidR="003938DD">
        <w:rPr>
          <w:rFonts w:eastAsia="Arial"/>
          <w:sz w:val="22"/>
          <w:szCs w:val="22"/>
          <w:highlight w:val="white"/>
          <w:lang w:eastAsia="es-AR"/>
        </w:rPr>
        <w:t>to por UNICEN en el marco del Plan de Co</w:t>
      </w:r>
      <w:r w:rsidRPr="006A26E8">
        <w:rPr>
          <w:rFonts w:eastAsia="Arial"/>
          <w:sz w:val="22"/>
          <w:szCs w:val="22"/>
          <w:highlight w:val="white"/>
          <w:lang w:eastAsia="es-AR"/>
        </w:rPr>
        <w:t xml:space="preserve">ntingencia y que permita generar luego el certificado de título en trámite el cual será  enviado vía mail al graduado. </w:t>
      </w:r>
    </w:p>
    <w:p w:rsidR="006D3D7A" w:rsidRPr="00DC03E9" w:rsidRDefault="00CD134F" w:rsidP="00CD134F">
      <w:pPr>
        <w:numPr>
          <w:ilvl w:val="0"/>
          <w:numId w:val="8"/>
        </w:numPr>
        <w:jc w:val="both"/>
        <w:rPr>
          <w:rFonts w:eastAsia="Arial"/>
          <w:sz w:val="22"/>
          <w:szCs w:val="22"/>
          <w:highlight w:val="white"/>
          <w:lang w:eastAsia="es-AR"/>
        </w:rPr>
      </w:pPr>
      <w:r w:rsidRPr="00DC03E9">
        <w:rPr>
          <w:rFonts w:eastAsia="Arial"/>
          <w:sz w:val="22"/>
          <w:szCs w:val="22"/>
          <w:highlight w:val="white"/>
          <w:lang w:eastAsia="es-AR"/>
        </w:rPr>
        <w:t>Una vez generado el expediente de título en la F</w:t>
      </w:r>
      <w:r w:rsidR="003938DD" w:rsidRPr="00DC03E9">
        <w:rPr>
          <w:rFonts w:eastAsia="Arial"/>
          <w:sz w:val="22"/>
          <w:szCs w:val="22"/>
          <w:highlight w:val="white"/>
          <w:lang w:eastAsia="es-AR"/>
        </w:rPr>
        <w:t xml:space="preserve">acultad de </w:t>
      </w:r>
      <w:r w:rsidRPr="00DC03E9">
        <w:rPr>
          <w:rFonts w:eastAsia="Arial"/>
          <w:sz w:val="22"/>
          <w:szCs w:val="22"/>
          <w:highlight w:val="white"/>
          <w:lang w:eastAsia="es-AR"/>
        </w:rPr>
        <w:t>C</w:t>
      </w:r>
      <w:r w:rsidR="003938DD" w:rsidRPr="00DC03E9">
        <w:rPr>
          <w:rFonts w:eastAsia="Arial"/>
          <w:sz w:val="22"/>
          <w:szCs w:val="22"/>
          <w:highlight w:val="white"/>
          <w:lang w:eastAsia="es-AR"/>
        </w:rPr>
        <w:t xml:space="preserve">iencias </w:t>
      </w:r>
      <w:r w:rsidRPr="00DC03E9">
        <w:rPr>
          <w:rFonts w:eastAsia="Arial"/>
          <w:sz w:val="22"/>
          <w:szCs w:val="22"/>
          <w:highlight w:val="white"/>
          <w:lang w:eastAsia="es-AR"/>
        </w:rPr>
        <w:t>H</w:t>
      </w:r>
      <w:r w:rsidR="003938DD" w:rsidRPr="00DC03E9">
        <w:rPr>
          <w:rFonts w:eastAsia="Arial"/>
          <w:sz w:val="22"/>
          <w:szCs w:val="22"/>
          <w:highlight w:val="white"/>
          <w:lang w:eastAsia="es-AR"/>
        </w:rPr>
        <w:t>umanas</w:t>
      </w:r>
      <w:r w:rsidRPr="00DC03E9">
        <w:rPr>
          <w:rFonts w:eastAsia="Arial"/>
          <w:sz w:val="22"/>
          <w:szCs w:val="22"/>
          <w:highlight w:val="white"/>
          <w:lang w:eastAsia="es-AR"/>
        </w:rPr>
        <w:t xml:space="preserve"> se procede a la etapa de  control y confección de los mismos en consonancia con las disposiciones que emanen de la Dirección de Títulos de la Universidad</w:t>
      </w:r>
      <w:r w:rsidRPr="00DC03E9">
        <w:rPr>
          <w:rFonts w:eastAsia="Arial"/>
          <w:sz w:val="22"/>
          <w:szCs w:val="22"/>
          <w:lang w:eastAsia="es-AR"/>
        </w:rPr>
        <w:t>.</w:t>
      </w:r>
    </w:p>
    <w:p w:rsidR="004829C3" w:rsidRDefault="004829C3" w:rsidP="00E85E68">
      <w:pPr>
        <w:jc w:val="both"/>
      </w:pPr>
    </w:p>
    <w:sectPr w:rsidR="004829C3" w:rsidSect="00EE1DC4">
      <w:pgSz w:w="11907" w:h="16840" w:code="9"/>
      <w:pgMar w:top="1417" w:right="1701" w:bottom="1417"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3D6" w:rsidRDefault="007F63D6" w:rsidP="00CD134F">
      <w:r>
        <w:separator/>
      </w:r>
    </w:p>
  </w:endnote>
  <w:endnote w:type="continuationSeparator" w:id="0">
    <w:p w:rsidR="007F63D6" w:rsidRDefault="007F63D6" w:rsidP="00CD13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iryo">
    <w:panose1 w:val="020B0604030504040204"/>
    <w:charset w:val="80"/>
    <w:family w:val="swiss"/>
    <w:pitch w:val="variable"/>
    <w:sig w:usb0="E10102FF" w:usb1="EAC7FFFF" w:usb2="0001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3D6" w:rsidRDefault="007F63D6" w:rsidP="00CD134F">
      <w:r>
        <w:separator/>
      </w:r>
    </w:p>
  </w:footnote>
  <w:footnote w:type="continuationSeparator" w:id="0">
    <w:p w:rsidR="007F63D6" w:rsidRDefault="007F63D6" w:rsidP="00CD134F">
      <w:r>
        <w:continuationSeparator/>
      </w:r>
    </w:p>
  </w:footnote>
  <w:footnote w:id="1">
    <w:p w:rsidR="00CD134F" w:rsidRDefault="00CD134F" w:rsidP="00CD134F">
      <w:pPr>
        <w:rPr>
          <w:i/>
        </w:rPr>
      </w:pPr>
      <w:r>
        <w:rPr>
          <w:vertAlign w:val="superscript"/>
        </w:rPr>
        <w:footnoteRef/>
      </w:r>
      <w:r>
        <w:t xml:space="preserve"> Se está trabajando para generar la solicitud desde el </w:t>
      </w:r>
      <w:proofErr w:type="spellStart"/>
      <w:r>
        <w:t>Siui</w:t>
      </w:r>
      <w:proofErr w:type="spellEnd"/>
      <w:r>
        <w:t xml:space="preserve"> Guaraní </w:t>
      </w:r>
    </w:p>
  </w:footnote>
  <w:footnote w:id="2">
    <w:p w:rsidR="00CD134F" w:rsidRDefault="00CD134F" w:rsidP="00CD134F">
      <w:r>
        <w:rPr>
          <w:vertAlign w:val="superscript"/>
        </w:rPr>
        <w:footnoteRef/>
      </w:r>
      <w:r>
        <w:t xml:space="preserve"> Esto por el momento es sólo para tesis de grado aunque se prevea la incorporación de todas las tesis de CEDI y Posgrado.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2566"/>
    <w:multiLevelType w:val="multilevel"/>
    <w:tmpl w:val="C5B680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06B74281"/>
    <w:multiLevelType w:val="hybridMultilevel"/>
    <w:tmpl w:val="073491B2"/>
    <w:lvl w:ilvl="0" w:tplc="D8CA71F6">
      <w:start w:val="1"/>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C7E6459"/>
    <w:multiLevelType w:val="multilevel"/>
    <w:tmpl w:val="F32C7AF6"/>
    <w:lvl w:ilvl="0">
      <w:start w:val="1"/>
      <w:numFmt w:val="bullet"/>
      <w:lvlText w:val="●"/>
      <w:lvlJc w:val="left"/>
      <w:pPr>
        <w:ind w:left="1485" w:hanging="360"/>
      </w:pPr>
      <w:rPr>
        <w:rFonts w:ascii="Noto Sans Symbols" w:eastAsia="Noto Sans Symbols" w:hAnsi="Noto Sans Symbols" w:cs="Noto Sans Symbols"/>
      </w:rPr>
    </w:lvl>
    <w:lvl w:ilvl="1">
      <w:start w:val="1"/>
      <w:numFmt w:val="bullet"/>
      <w:lvlText w:val="o"/>
      <w:lvlJc w:val="left"/>
      <w:pPr>
        <w:ind w:left="2205" w:hanging="360"/>
      </w:pPr>
      <w:rPr>
        <w:rFonts w:ascii="Courier New" w:eastAsia="Courier New" w:hAnsi="Courier New" w:cs="Courier New"/>
      </w:rPr>
    </w:lvl>
    <w:lvl w:ilvl="2">
      <w:start w:val="1"/>
      <w:numFmt w:val="bullet"/>
      <w:lvlText w:val="▪"/>
      <w:lvlJc w:val="left"/>
      <w:pPr>
        <w:ind w:left="2925" w:hanging="360"/>
      </w:pPr>
      <w:rPr>
        <w:rFonts w:ascii="Noto Sans Symbols" w:eastAsia="Noto Sans Symbols" w:hAnsi="Noto Sans Symbols" w:cs="Noto Sans Symbols"/>
      </w:rPr>
    </w:lvl>
    <w:lvl w:ilvl="3">
      <w:start w:val="1"/>
      <w:numFmt w:val="bullet"/>
      <w:lvlText w:val="●"/>
      <w:lvlJc w:val="left"/>
      <w:pPr>
        <w:ind w:left="3645" w:hanging="360"/>
      </w:pPr>
      <w:rPr>
        <w:rFonts w:ascii="Noto Sans Symbols" w:eastAsia="Noto Sans Symbols" w:hAnsi="Noto Sans Symbols" w:cs="Noto Sans Symbols"/>
      </w:rPr>
    </w:lvl>
    <w:lvl w:ilvl="4">
      <w:start w:val="1"/>
      <w:numFmt w:val="bullet"/>
      <w:lvlText w:val="o"/>
      <w:lvlJc w:val="left"/>
      <w:pPr>
        <w:ind w:left="4365" w:hanging="360"/>
      </w:pPr>
      <w:rPr>
        <w:rFonts w:ascii="Courier New" w:eastAsia="Courier New" w:hAnsi="Courier New" w:cs="Courier New"/>
      </w:rPr>
    </w:lvl>
    <w:lvl w:ilvl="5">
      <w:start w:val="1"/>
      <w:numFmt w:val="bullet"/>
      <w:lvlText w:val="▪"/>
      <w:lvlJc w:val="left"/>
      <w:pPr>
        <w:ind w:left="5085" w:hanging="360"/>
      </w:pPr>
      <w:rPr>
        <w:rFonts w:ascii="Noto Sans Symbols" w:eastAsia="Noto Sans Symbols" w:hAnsi="Noto Sans Symbols" w:cs="Noto Sans Symbols"/>
      </w:rPr>
    </w:lvl>
    <w:lvl w:ilvl="6">
      <w:start w:val="1"/>
      <w:numFmt w:val="bullet"/>
      <w:lvlText w:val="●"/>
      <w:lvlJc w:val="left"/>
      <w:pPr>
        <w:ind w:left="5805" w:hanging="360"/>
      </w:pPr>
      <w:rPr>
        <w:rFonts w:ascii="Noto Sans Symbols" w:eastAsia="Noto Sans Symbols" w:hAnsi="Noto Sans Symbols" w:cs="Noto Sans Symbols"/>
      </w:rPr>
    </w:lvl>
    <w:lvl w:ilvl="7">
      <w:start w:val="1"/>
      <w:numFmt w:val="bullet"/>
      <w:lvlText w:val="o"/>
      <w:lvlJc w:val="left"/>
      <w:pPr>
        <w:ind w:left="6525" w:hanging="360"/>
      </w:pPr>
      <w:rPr>
        <w:rFonts w:ascii="Courier New" w:eastAsia="Courier New" w:hAnsi="Courier New" w:cs="Courier New"/>
      </w:rPr>
    </w:lvl>
    <w:lvl w:ilvl="8">
      <w:start w:val="1"/>
      <w:numFmt w:val="bullet"/>
      <w:lvlText w:val="▪"/>
      <w:lvlJc w:val="left"/>
      <w:pPr>
        <w:ind w:left="7245" w:hanging="360"/>
      </w:pPr>
      <w:rPr>
        <w:rFonts w:ascii="Noto Sans Symbols" w:eastAsia="Noto Sans Symbols" w:hAnsi="Noto Sans Symbols" w:cs="Noto Sans Symbols"/>
      </w:rPr>
    </w:lvl>
  </w:abstractNum>
  <w:abstractNum w:abstractNumId="3">
    <w:nsid w:val="0E8B2D73"/>
    <w:multiLevelType w:val="multilevel"/>
    <w:tmpl w:val="90A6D710"/>
    <w:lvl w:ilvl="0">
      <w:start w:val="1"/>
      <w:numFmt w:val="lowerLetter"/>
      <w:lvlText w:val="%1)"/>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A1A1FCD"/>
    <w:multiLevelType w:val="multilevel"/>
    <w:tmpl w:val="4738BF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nsid w:val="31D31643"/>
    <w:multiLevelType w:val="multilevel"/>
    <w:tmpl w:val="821270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34C76DE2"/>
    <w:multiLevelType w:val="hybridMultilevel"/>
    <w:tmpl w:val="FB9C3C46"/>
    <w:lvl w:ilvl="0" w:tplc="2C0A000F">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45B57CEC"/>
    <w:multiLevelType w:val="multilevel"/>
    <w:tmpl w:val="68FCE2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nsid w:val="48065F18"/>
    <w:multiLevelType w:val="hybridMultilevel"/>
    <w:tmpl w:val="046AAC5E"/>
    <w:lvl w:ilvl="0" w:tplc="CDC0BD7E">
      <w:start w:val="1"/>
      <w:numFmt w:val="bullet"/>
      <w:lvlText w:val="-"/>
      <w:lvlJc w:val="left"/>
      <w:pPr>
        <w:ind w:left="1068" w:hanging="360"/>
      </w:pPr>
      <w:rPr>
        <w:rFonts w:ascii="Calibri" w:eastAsia="Meiryo" w:hAnsi="Calibri" w:cs="Calibri"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9">
    <w:nsid w:val="5B9D6D44"/>
    <w:multiLevelType w:val="multilevel"/>
    <w:tmpl w:val="29807B0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nsid w:val="6416777F"/>
    <w:multiLevelType w:val="multilevel"/>
    <w:tmpl w:val="0D361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A347237"/>
    <w:multiLevelType w:val="hybridMultilevel"/>
    <w:tmpl w:val="0EC647AE"/>
    <w:lvl w:ilvl="0" w:tplc="2C0A000F">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10"/>
  </w:num>
  <w:num w:numId="5">
    <w:abstractNumId w:val="4"/>
  </w:num>
  <w:num w:numId="6">
    <w:abstractNumId w:val="5"/>
  </w:num>
  <w:num w:numId="7">
    <w:abstractNumId w:val="9"/>
  </w:num>
  <w:num w:numId="8">
    <w:abstractNumId w:val="0"/>
  </w:num>
  <w:num w:numId="9">
    <w:abstractNumId w:val="2"/>
  </w:num>
  <w:num w:numId="10">
    <w:abstractNumId w:val="7"/>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footnotePr>
    <w:footnote w:id="-1"/>
    <w:footnote w:id="0"/>
  </w:footnotePr>
  <w:endnotePr>
    <w:endnote w:id="-1"/>
    <w:endnote w:id="0"/>
  </w:endnotePr>
  <w:compat/>
  <w:rsids>
    <w:rsidRoot w:val="00BA5846"/>
    <w:rsid w:val="0006389E"/>
    <w:rsid w:val="000A0BF1"/>
    <w:rsid w:val="000F3F74"/>
    <w:rsid w:val="001225C3"/>
    <w:rsid w:val="001544E1"/>
    <w:rsid w:val="001A0D8D"/>
    <w:rsid w:val="001C35AC"/>
    <w:rsid w:val="001F60AD"/>
    <w:rsid w:val="00250F5A"/>
    <w:rsid w:val="002C683E"/>
    <w:rsid w:val="00384446"/>
    <w:rsid w:val="003938DD"/>
    <w:rsid w:val="003972C4"/>
    <w:rsid w:val="003B4A63"/>
    <w:rsid w:val="004829C3"/>
    <w:rsid w:val="0055252E"/>
    <w:rsid w:val="005B0983"/>
    <w:rsid w:val="006324AD"/>
    <w:rsid w:val="0064328C"/>
    <w:rsid w:val="006C0E31"/>
    <w:rsid w:val="006D3D7A"/>
    <w:rsid w:val="006F1FE6"/>
    <w:rsid w:val="007074C2"/>
    <w:rsid w:val="00716624"/>
    <w:rsid w:val="00721076"/>
    <w:rsid w:val="0077590B"/>
    <w:rsid w:val="007E2778"/>
    <w:rsid w:val="007F63D6"/>
    <w:rsid w:val="008C7A6B"/>
    <w:rsid w:val="00927381"/>
    <w:rsid w:val="00987281"/>
    <w:rsid w:val="009D1332"/>
    <w:rsid w:val="00A046D3"/>
    <w:rsid w:val="00A5365E"/>
    <w:rsid w:val="00AE1D8D"/>
    <w:rsid w:val="00B46D8A"/>
    <w:rsid w:val="00B97AEC"/>
    <w:rsid w:val="00BA5846"/>
    <w:rsid w:val="00BB4E79"/>
    <w:rsid w:val="00BE7D33"/>
    <w:rsid w:val="00C630A7"/>
    <w:rsid w:val="00C957B2"/>
    <w:rsid w:val="00CD134F"/>
    <w:rsid w:val="00CD725D"/>
    <w:rsid w:val="00CF0CD4"/>
    <w:rsid w:val="00D07788"/>
    <w:rsid w:val="00D74133"/>
    <w:rsid w:val="00DC03E9"/>
    <w:rsid w:val="00DE28E0"/>
    <w:rsid w:val="00E07228"/>
    <w:rsid w:val="00E1605E"/>
    <w:rsid w:val="00E85E68"/>
    <w:rsid w:val="00EE1DC4"/>
    <w:rsid w:val="00EF67B8"/>
    <w:rsid w:val="00F030A5"/>
    <w:rsid w:val="00F531E3"/>
    <w:rsid w:val="00F7430E"/>
    <w:rsid w:val="00FA396F"/>
    <w:rsid w:val="00FB5329"/>
    <w:rsid w:val="00FF3EE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846"/>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BA5846"/>
    <w:pPr>
      <w:keepNext/>
      <w:jc w:val="center"/>
      <w:outlineLvl w:val="0"/>
    </w:pPr>
    <w:rPr>
      <w:b/>
      <w:bCs/>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A5846"/>
    <w:rPr>
      <w:rFonts w:ascii="Times New Roman" w:eastAsia="Times New Roman" w:hAnsi="Times New Roman" w:cs="Times New Roman"/>
      <w:b/>
      <w:bCs/>
      <w:szCs w:val="20"/>
      <w:u w:val="single"/>
      <w:lang w:eastAsia="es-ES"/>
    </w:rPr>
  </w:style>
  <w:style w:type="paragraph" w:styleId="Sangradetextonormal">
    <w:name w:val="Body Text Indent"/>
    <w:basedOn w:val="Normal"/>
    <w:link w:val="SangradetextonormalCar"/>
    <w:rsid w:val="00BA5846"/>
    <w:pPr>
      <w:ind w:firstLine="708"/>
    </w:pPr>
    <w:rPr>
      <w:sz w:val="24"/>
    </w:rPr>
  </w:style>
  <w:style w:type="character" w:customStyle="1" w:styleId="SangradetextonormalCar">
    <w:name w:val="Sangría de texto normal Car"/>
    <w:basedOn w:val="Fuentedeprrafopredeter"/>
    <w:link w:val="Sangradetextonormal"/>
    <w:rsid w:val="00BA5846"/>
    <w:rPr>
      <w:rFonts w:ascii="Times New Roman" w:eastAsia="Times New Roman" w:hAnsi="Times New Roman" w:cs="Times New Roman"/>
      <w:sz w:val="24"/>
      <w:szCs w:val="20"/>
      <w:lang w:eastAsia="es-ES"/>
    </w:rPr>
  </w:style>
  <w:style w:type="paragraph" w:styleId="Prrafodelista">
    <w:name w:val="List Paragraph"/>
    <w:basedOn w:val="Normal"/>
    <w:uiPriority w:val="34"/>
    <w:qFormat/>
    <w:rsid w:val="00384446"/>
    <w:pPr>
      <w:ind w:left="720"/>
      <w:contextualSpacing/>
    </w:pPr>
  </w:style>
  <w:style w:type="paragraph" w:styleId="Textodeglobo">
    <w:name w:val="Balloon Text"/>
    <w:basedOn w:val="Normal"/>
    <w:link w:val="TextodegloboCar"/>
    <w:uiPriority w:val="99"/>
    <w:semiHidden/>
    <w:unhideWhenUsed/>
    <w:rsid w:val="00EE1DC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1DC4"/>
    <w:rPr>
      <w:rFonts w:ascii="Segoe UI" w:eastAsia="Times New Roman" w:hAnsi="Segoe UI" w:cs="Segoe UI"/>
      <w:sz w:val="18"/>
      <w:szCs w:val="18"/>
      <w:lang w:eastAsia="es-ES"/>
    </w:rPr>
  </w:style>
  <w:style w:type="character" w:styleId="Hipervnculo">
    <w:name w:val="Hyperlink"/>
    <w:rsid w:val="00CF0CD4"/>
    <w:rPr>
      <w:color w:val="0000FF"/>
      <w:u w:val="single"/>
    </w:rPr>
  </w:style>
  <w:style w:type="paragraph" w:customStyle="1" w:styleId="Default">
    <w:name w:val="Default"/>
    <w:rsid w:val="008C7A6B"/>
    <w:pPr>
      <w:autoSpaceDE w:val="0"/>
      <w:autoSpaceDN w:val="0"/>
      <w:adjustRightInd w:val="0"/>
      <w:spacing w:after="0" w:line="240" w:lineRule="auto"/>
    </w:pPr>
    <w:rPr>
      <w:rFonts w:ascii="Times New Roman" w:hAnsi="Times New Roman" w:cs="Times New Roman"/>
      <w:color w:val="000000"/>
      <w:sz w:val="24"/>
      <w:szCs w:val="24"/>
      <w:lang w:val="es-AR"/>
    </w:rPr>
  </w:style>
  <w:style w:type="paragraph" w:styleId="Encabezado">
    <w:name w:val="header"/>
    <w:basedOn w:val="Normal"/>
    <w:link w:val="EncabezadoCar"/>
    <w:uiPriority w:val="99"/>
    <w:unhideWhenUsed/>
    <w:rsid w:val="006D3D7A"/>
    <w:pPr>
      <w:tabs>
        <w:tab w:val="center" w:pos="4252"/>
        <w:tab w:val="right" w:pos="8504"/>
      </w:tabs>
    </w:pPr>
    <w:rPr>
      <w:rFonts w:asciiTheme="minorHAnsi" w:eastAsiaTheme="minorHAnsi" w:hAnsiTheme="minorHAnsi" w:cstheme="minorBidi"/>
      <w:sz w:val="22"/>
      <w:szCs w:val="22"/>
      <w:lang w:val="es-AR" w:eastAsia="en-US"/>
    </w:rPr>
  </w:style>
  <w:style w:type="character" w:customStyle="1" w:styleId="EncabezadoCar">
    <w:name w:val="Encabezado Car"/>
    <w:basedOn w:val="Fuentedeprrafopredeter"/>
    <w:link w:val="Encabezado"/>
    <w:uiPriority w:val="99"/>
    <w:rsid w:val="006D3D7A"/>
    <w:rPr>
      <w:lang w:val="es-A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6</Pages>
  <Words>1902</Words>
  <Characters>10466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Veronica Diaz</dc:creator>
  <cp:lastModifiedBy>Lucas</cp:lastModifiedBy>
  <cp:revision>18</cp:revision>
  <cp:lastPrinted>2019-08-05T22:21:00Z</cp:lastPrinted>
  <dcterms:created xsi:type="dcterms:W3CDTF">2020-05-11T15:01:00Z</dcterms:created>
  <dcterms:modified xsi:type="dcterms:W3CDTF">2020-06-08T15:44:00Z</dcterms:modified>
</cp:coreProperties>
</file>