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9C3" w:rsidRDefault="009D29C3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9D29C3" w:rsidRDefault="0007683A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PROGRAMA</w:t>
      </w:r>
      <w:r w:rsidR="00D235B6">
        <w:rPr>
          <w:rFonts w:ascii="Times New Roman" w:eastAsia="Times New Roman" w:hAnsi="Times New Roman" w:cs="Times New Roman"/>
          <w:b/>
          <w:sz w:val="28"/>
          <w:szCs w:val="28"/>
        </w:rPr>
        <w:t xml:space="preserve"> 2025</w:t>
      </w:r>
    </w:p>
    <w:p w:rsidR="009D29C3" w:rsidRDefault="0007683A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Capacitación LEY MICAELA Nº 27.499</w:t>
      </w:r>
    </w:p>
    <w:p w:rsidR="009D29C3" w:rsidRDefault="009D29C3">
      <w:pPr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9D29C3" w:rsidRDefault="0007683A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Equipo docente:</w:t>
      </w:r>
    </w:p>
    <w:p w:rsidR="009D29C3" w:rsidRDefault="0007683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Dra. Diana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Dra. Lucía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Lionetti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Dr. Heder Rocha</w:t>
      </w:r>
      <w:r w:rsidR="00D235B6">
        <w:rPr>
          <w:rFonts w:ascii="Times New Roman" w:eastAsia="Times New Roman" w:hAnsi="Times New Roman" w:cs="Times New Roman"/>
          <w:sz w:val="24"/>
          <w:szCs w:val="24"/>
        </w:rPr>
        <w:t xml:space="preserve">, Prof. Melisa </w:t>
      </w:r>
      <w:proofErr w:type="spellStart"/>
      <w:r w:rsidR="00D235B6">
        <w:rPr>
          <w:rFonts w:ascii="Times New Roman" w:eastAsia="Times New Roman" w:hAnsi="Times New Roman" w:cs="Times New Roman"/>
          <w:sz w:val="24"/>
          <w:szCs w:val="24"/>
        </w:rPr>
        <w:t>Zubillaga</w:t>
      </w:r>
      <w:proofErr w:type="spellEnd"/>
      <w:r w:rsidR="00D235B6">
        <w:rPr>
          <w:rFonts w:ascii="Times New Roman" w:eastAsia="Times New Roman" w:hAnsi="Times New Roman" w:cs="Times New Roman"/>
          <w:sz w:val="24"/>
          <w:szCs w:val="24"/>
        </w:rPr>
        <w:t xml:space="preserve"> y Prof. Lu</w:t>
      </w:r>
      <w:r w:rsidR="008D42ED">
        <w:rPr>
          <w:rFonts w:ascii="Times New Roman" w:eastAsia="Times New Roman" w:hAnsi="Times New Roman" w:cs="Times New Roman"/>
          <w:sz w:val="24"/>
          <w:szCs w:val="24"/>
        </w:rPr>
        <w:t>c</w:t>
      </w:r>
      <w:bookmarkStart w:id="0" w:name="_GoBack"/>
      <w:bookmarkEnd w:id="0"/>
      <w:r w:rsidR="00D235B6">
        <w:rPr>
          <w:rFonts w:ascii="Times New Roman" w:eastAsia="Times New Roman" w:hAnsi="Times New Roman" w:cs="Times New Roman"/>
          <w:sz w:val="24"/>
          <w:szCs w:val="24"/>
        </w:rPr>
        <w:t xml:space="preserve">iana </w:t>
      </w:r>
      <w:proofErr w:type="spellStart"/>
      <w:r w:rsidR="00D235B6">
        <w:rPr>
          <w:rFonts w:ascii="Times New Roman" w:eastAsia="Times New Roman" w:hAnsi="Times New Roman" w:cs="Times New Roman"/>
          <w:sz w:val="24"/>
          <w:szCs w:val="24"/>
        </w:rPr>
        <w:t>Arbeo</w:t>
      </w:r>
      <w:proofErr w:type="spellEnd"/>
    </w:p>
    <w:p w:rsidR="009D29C3" w:rsidRDefault="009D29C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D29C3" w:rsidRDefault="0007683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El siguiente Programa se ajusta a los contenidos teóricos y lineamientos pedagógicos del proyecto de formación y capacitación, impulsado en el marco de la Ley Nº 27.499 "Ley Micaela", que establece en su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articulo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1, "la capacitación obligatoria en la temática de género y violencia contra las mujeres para todas las personas que se desempeñen en la función pública en todos sus niveles y jerarquías en los poderes Ejecutivo, Legislativo y Judicial de la Nación".</w:t>
      </w:r>
    </w:p>
    <w:p w:rsidR="009D29C3" w:rsidRDefault="009D29C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29C3" w:rsidRDefault="0007683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Con la implementación de esta normativa se busca, por un lado, prevenir y promover la adecuada intervención frente a situaciones de violencias por motivos de género en los ámbitos laborales, como así también interpelar desde la responsabilidad política de autoridades y agentes del Estado, en la urgencia de iniciar procesos de capacitación en la temática para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transversalizar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la perspectiva de género en el diseño e implementación de prácticas más justas e inclusivas dentro de la universidad.</w:t>
      </w:r>
    </w:p>
    <w:p w:rsidR="009D29C3" w:rsidRDefault="009D29C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29C3" w:rsidRDefault="0007683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El programa de contenidos se desarrolla en 4 ejes fundamentales:</w:t>
      </w:r>
    </w:p>
    <w:p w:rsidR="009D29C3" w:rsidRDefault="009D29C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29C3" w:rsidRDefault="0007683A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1. Marco normativo nacional e internacional</w:t>
      </w:r>
    </w:p>
    <w:p w:rsidR="009D29C3" w:rsidRDefault="009D29C3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D29C3" w:rsidRDefault="0007683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Enfoque de Derechos Humanos: Derechos de las mujeres y las diversidades. Paradigmas de infancia: desde el/a/e niño/a/e como objeto de tutelaje al/a/e niño/a/e como sujeto/a/e de derechos.</w:t>
      </w:r>
    </w:p>
    <w:p w:rsidR="009D29C3" w:rsidRDefault="009D29C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29C3" w:rsidRDefault="0007683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Bibliografía de referencia:</w:t>
      </w:r>
    </w:p>
    <w:p w:rsidR="009D29C3" w:rsidRDefault="0007683A">
      <w:pPr>
        <w:numPr>
          <w:ilvl w:val="0"/>
          <w:numId w:val="3"/>
        </w:numPr>
        <w:ind w:left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Convención para la Eliminación de todas las Formas de Discriminación contra la Mujer (CEDAW), 1979.</w:t>
      </w:r>
    </w:p>
    <w:p w:rsidR="009D29C3" w:rsidRDefault="0007683A">
      <w:pPr>
        <w:numPr>
          <w:ilvl w:val="0"/>
          <w:numId w:val="3"/>
        </w:numPr>
        <w:ind w:left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Convención de los Derechos del Niño, 1989.</w:t>
      </w:r>
    </w:p>
    <w:p w:rsidR="009D29C3" w:rsidRDefault="0007683A">
      <w:pPr>
        <w:numPr>
          <w:ilvl w:val="0"/>
          <w:numId w:val="3"/>
        </w:numPr>
        <w:ind w:left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Convención Interamericana para Prevenir, Sancionar y Erradicar la Violencia contra la Mujer (Convención de Belém do Pará), 1994.</w:t>
      </w:r>
    </w:p>
    <w:p w:rsidR="009D29C3" w:rsidRDefault="0007683A">
      <w:pPr>
        <w:numPr>
          <w:ilvl w:val="0"/>
          <w:numId w:val="3"/>
        </w:numPr>
        <w:ind w:left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Ley N 26.743 de Identidad de Género. Argentina. 2012.</w:t>
      </w:r>
    </w:p>
    <w:p w:rsidR="009D29C3" w:rsidRDefault="0007683A">
      <w:pPr>
        <w:numPr>
          <w:ilvl w:val="0"/>
          <w:numId w:val="3"/>
        </w:numPr>
        <w:ind w:left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Ley 26.061 de Protección Integral de los Derechos de Niñas, Niños y Adolescentes 2005</w:t>
      </w:r>
    </w:p>
    <w:p w:rsidR="009D29C3" w:rsidRDefault="0007683A">
      <w:pPr>
        <w:numPr>
          <w:ilvl w:val="0"/>
          <w:numId w:val="3"/>
        </w:numPr>
        <w:ind w:left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Ley N 26.485 de Protección Integral para Prevenir, Sancionar y Erradicar la Violencia contra las Mujeres en los ámbitos en que desarrollen sus relaciones interpersonales. 2009.</w:t>
      </w:r>
    </w:p>
    <w:p w:rsidR="009D29C3" w:rsidRDefault="0007683A">
      <w:pPr>
        <w:numPr>
          <w:ilvl w:val="0"/>
          <w:numId w:val="3"/>
        </w:numPr>
        <w:ind w:left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Ley 27.499 de Capacitación obligatoria en género para todas las personas que integran los tres poderes del Estado. 2018. </w:t>
      </w:r>
    </w:p>
    <w:p w:rsidR="009D29C3" w:rsidRDefault="009D29C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29C3" w:rsidRDefault="009D29C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29C3" w:rsidRDefault="0007683A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2. Introducción a la perspectiva de género. Conceptos básicos</w:t>
      </w:r>
    </w:p>
    <w:p w:rsidR="009D29C3" w:rsidRDefault="009D29C3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D29C3" w:rsidRDefault="0007683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Conceptos base. Sexo y género. Estereotipos de género. Socialización de Género. División sexual del trabajo. Desigualdades en el acceso laboral. Identidades de género, orientaciones sexuales y expresiones de género. Jerarquías y relaciones de poder. Introducción al concepto de patriarcado. Masculinidad hegemónica y construcción de nuevas masculinidades. Binarismo,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cisexismo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heteronormatividad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Perspectiva de género.</w:t>
      </w:r>
    </w:p>
    <w:p w:rsidR="009D29C3" w:rsidRDefault="009D29C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29C3" w:rsidRDefault="0007683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Bibliografía de referencia:</w:t>
      </w:r>
    </w:p>
    <w:p w:rsidR="009D29C3" w:rsidRDefault="0007683A">
      <w:pPr>
        <w:numPr>
          <w:ilvl w:val="0"/>
          <w:numId w:val="4"/>
        </w:numPr>
        <w:ind w:left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Barrancos, D. (2011). Género y ciudadanía en la Argentina. Iberoamericana.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Nordic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Journal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Latin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American and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Caribbean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Studies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Vol. XLI: 1-2 2011, pp. 23-39.</w:t>
      </w:r>
    </w:p>
    <w:p w:rsidR="009D29C3" w:rsidRDefault="0007683A">
      <w:pPr>
        <w:numPr>
          <w:ilvl w:val="0"/>
          <w:numId w:val="4"/>
        </w:numPr>
        <w:ind w:left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Bonder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G. (1998). Género y subjetividad: avatares de una relación no evidente. En: Género y epistemología: mujeres y disciplina. PIEG, Universidad de Chile.</w:t>
      </w:r>
    </w:p>
    <w:p w:rsidR="009D29C3" w:rsidRDefault="0007683A">
      <w:pPr>
        <w:numPr>
          <w:ilvl w:val="0"/>
          <w:numId w:val="4"/>
        </w:numPr>
        <w:ind w:left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Connell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R. (2003) La organización social de la masculinidad. En Lomas, C.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comp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). ¿Todos los hombres son iguales? Identidades masculinas y cambios sociales. Barcelona: Paidós; pp. 41.</w:t>
      </w:r>
    </w:p>
    <w:p w:rsidR="009D29C3" w:rsidRDefault="0007683A">
      <w:pPr>
        <w:numPr>
          <w:ilvl w:val="0"/>
          <w:numId w:val="4"/>
        </w:numPr>
        <w:ind w:left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Mattio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E. (2012) "¿De qué hablamos cuando hablamos de género? Una introducción conceptual" en Moran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Faundes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José y otros (com.). Reflexiones en torno a los derechos sexuales y reproductivos. Córdoba: Ciencia, Derecho y Sociedad Editorial, pp.85-102.</w:t>
      </w:r>
    </w:p>
    <w:p w:rsidR="009D29C3" w:rsidRDefault="0007683A">
      <w:pPr>
        <w:numPr>
          <w:ilvl w:val="0"/>
          <w:numId w:val="4"/>
        </w:numPr>
        <w:ind w:left="56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Primera Encuesta sobre Población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Trans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2012: Travestis, Transexuales,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Transgéneros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 Hombres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Trans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http://www.trabajo.gov.ar/downloads/diversidadsexual/Argentina_Primera_Encuestasobre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Poblacion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Trans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2012.pdf</w:t>
      </w:r>
    </w:p>
    <w:p w:rsidR="009D29C3" w:rsidRDefault="0007683A">
      <w:pPr>
        <w:numPr>
          <w:ilvl w:val="0"/>
          <w:numId w:val="4"/>
        </w:numPr>
        <w:ind w:left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Dorlin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E. (2009) Sexo, género y sexualidades. Introducción a la teoría feminista. Bs.As.: Nueva Visión.</w:t>
      </w:r>
    </w:p>
    <w:p w:rsidR="009D29C3" w:rsidRDefault="0007683A">
      <w:pPr>
        <w:numPr>
          <w:ilvl w:val="0"/>
          <w:numId w:val="4"/>
        </w:numPr>
        <w:ind w:left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Fernández, A. M (2017). Las lógicas sexuales actuales y sus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-posiciones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identitarias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En: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Meler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I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comp.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 Género y psicoanálisis: Escritos sobre el amor, el trabajo, la sexualidad y la violencia. Buenos Aires: Paidós.</w:t>
      </w:r>
    </w:p>
    <w:p w:rsidR="009D29C3" w:rsidRDefault="0007683A">
      <w:pPr>
        <w:numPr>
          <w:ilvl w:val="0"/>
          <w:numId w:val="4"/>
        </w:numPr>
        <w:ind w:left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Maffia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D., &amp; Cabral, M. (2003). Los sexos ¿son o se hacen? D.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Maffia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(Comp.). Sexualidades migrantes. Género 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transgénero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86-96. Buenos Aires: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Feminaria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Editora.</w:t>
      </w:r>
    </w:p>
    <w:p w:rsidR="009D29C3" w:rsidRDefault="009D29C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29C3" w:rsidRDefault="009D29C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29C3" w:rsidRDefault="0007683A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3. Violencias por motivos de género como problemática social</w:t>
      </w:r>
    </w:p>
    <w:p w:rsidR="009D29C3" w:rsidRDefault="009D29C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29C3" w:rsidRDefault="0007683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Violencia por motivos de género. Violencia contra las mujeres. Tipos y modalidades. Violencias producto de la desigualdad. Círculo y espiral de la violencia. Mitos sobre la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violencia. Mitos sobre el amor romántico.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Micromachismos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Odio de género(s):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Femicidios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Travesticidios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Transfemicidios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 crímenes de odio.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Travesticidio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social. Violencias desde una mirada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interseccional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intersección de género con otras categorías como clase, etnia,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etc</w:t>
      </w:r>
      <w:proofErr w:type="spellEnd"/>
    </w:p>
    <w:p w:rsidR="009D29C3" w:rsidRDefault="009D29C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29C3" w:rsidRDefault="0007683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Bibliografía de referencia:</w:t>
      </w:r>
    </w:p>
    <w:p w:rsidR="009D29C3" w:rsidRDefault="0007683A">
      <w:pPr>
        <w:numPr>
          <w:ilvl w:val="0"/>
          <w:numId w:val="2"/>
        </w:numPr>
        <w:ind w:left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Bonino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L. (2004). Los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micromachismos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La Cibeles, 2(1.6).</w:t>
      </w:r>
    </w:p>
    <w:p w:rsidR="009D29C3" w:rsidRDefault="0007683A">
      <w:pPr>
        <w:numPr>
          <w:ilvl w:val="0"/>
          <w:numId w:val="2"/>
        </w:numPr>
        <w:ind w:left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Fernández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Boccardo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M. (2013). Mujeres que callan. Violencias de género y  efectos en la subjetividad femenina. Buenos Aires: Ed.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Entreideas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D29C3" w:rsidRDefault="0007683A">
      <w:pPr>
        <w:numPr>
          <w:ilvl w:val="0"/>
          <w:numId w:val="2"/>
        </w:numPr>
        <w:ind w:left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Hercovich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I. (1997). El enigma sexual de la violación. Buenos Aires: Ed.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Biblos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D29C3" w:rsidRDefault="0007683A">
      <w:pPr>
        <w:numPr>
          <w:ilvl w:val="0"/>
          <w:numId w:val="2"/>
        </w:numPr>
        <w:ind w:left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Herrera Gómez, C. (2010) La construcción sociocultural del amor romántico. Madrid: Fundamentos.</w:t>
      </w:r>
    </w:p>
    <w:p w:rsidR="009D29C3" w:rsidRDefault="0007683A">
      <w:pPr>
        <w:numPr>
          <w:ilvl w:val="0"/>
          <w:numId w:val="2"/>
        </w:numPr>
        <w:ind w:left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Lagarde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M. (2008). Antropología, feminismo y política: violencia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feminicida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 derechos humanos de las mujeres. In Retos teóricos y nuevas prácticas.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Ankulegi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; pp. 209-240</w:t>
      </w:r>
    </w:p>
    <w:p w:rsidR="009D29C3" w:rsidRDefault="0007683A">
      <w:pPr>
        <w:numPr>
          <w:ilvl w:val="0"/>
          <w:numId w:val="2"/>
        </w:numPr>
        <w:ind w:left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Lamas, M. (1998). La violencia del sexismo. En Sánchez Vázquez, A. (coord.), El mundo de la violencia. México: Fondo de Cultura Económica.</w:t>
      </w:r>
    </w:p>
    <w:p w:rsidR="009D29C3" w:rsidRDefault="0007683A">
      <w:pPr>
        <w:numPr>
          <w:ilvl w:val="0"/>
          <w:numId w:val="2"/>
        </w:numPr>
        <w:ind w:left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Diana (2017) Violencia de Género, circuitos espaciales 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micromachismos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En SILVA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Joseli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ORNAT,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Marcio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 CHIMIN JUNIOR,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Alides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Orgs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.) DIÁLOGOS IBERO- LATINO-AMERICANOS SOBRE GEOGRAFIAS FEMINISTAS E DAS SEXUALIDADES. Editora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Todapalavra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UEPG- Brasil.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177-190. ISBN 978-85-62450-48-8</w:t>
      </w:r>
    </w:p>
    <w:p w:rsidR="009D29C3" w:rsidRDefault="0007683A">
      <w:pPr>
        <w:numPr>
          <w:ilvl w:val="0"/>
          <w:numId w:val="2"/>
        </w:numPr>
        <w:ind w:left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D., Rocha, H.L. (2020) Metodologías feministas para el mapeo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geografias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oprimidas en Argentina. Revista GEOPAUTA.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Volume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4, nº. 4, p: 46-67. ISSN 2594- 5033. Brasil. Disponible en: http://periodicos2.uesb.br/index.php/geo </w:t>
      </w:r>
      <w:hyperlink r:id="rId8">
        <w:r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https://doi.org/10.22481/rg.v414.7552</w:t>
        </w:r>
      </w:hyperlink>
    </w:p>
    <w:p w:rsidR="009D29C3" w:rsidRDefault="0007683A">
      <w:pPr>
        <w:numPr>
          <w:ilvl w:val="0"/>
          <w:numId w:val="2"/>
        </w:numPr>
        <w:ind w:left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Diana (2020) Mapeos 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contramapeos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los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femicidios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en Argentina. En VARELA, Brisa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comp.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) DESAMARRADAS: GEOGRAFÍA DE MUJERES EN MOVIMIENTO. 1a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- Ciudad Autónoma de Buenos Aires: Impresiones Buenos Ares, Cap. 5,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 151-174. ISBN 978-987-47904-3-9</w:t>
      </w:r>
    </w:p>
    <w:p w:rsidR="009D29C3" w:rsidRDefault="0007683A">
      <w:pPr>
        <w:numPr>
          <w:ilvl w:val="0"/>
          <w:numId w:val="2"/>
        </w:numPr>
        <w:ind w:left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Segato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R. (2004). Las estructuras elementales de la violencia. Ensayos sobre género entre la antropología, el psicoanálisis y los derechos humanos. Buenos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Aires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:Editorial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Prometeo. </w:t>
      </w:r>
    </w:p>
    <w:p w:rsidR="009D29C3" w:rsidRDefault="0007683A">
      <w:pPr>
        <w:numPr>
          <w:ilvl w:val="0"/>
          <w:numId w:val="2"/>
        </w:numPr>
        <w:ind w:left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Viveros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Vigoya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M. (2016). 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interseccionalidad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 una aproximación situada a la dominación. En Debate Feminista 52, 1-17. México, Universidad Autónoma de México.</w:t>
      </w:r>
    </w:p>
    <w:p w:rsidR="009D29C3" w:rsidRDefault="0007683A">
      <w:pPr>
        <w:numPr>
          <w:ilvl w:val="0"/>
          <w:numId w:val="2"/>
        </w:numPr>
        <w:ind w:left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Lugones, M. (2008)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Colonialidad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 género. Revista Tabula Rasa n. 8. Disponible en: http://es.scribd.com/doc/71742411/Colonialidad-y-Genero-Maria-Lugones#scribd</w:t>
      </w:r>
    </w:p>
    <w:p w:rsidR="009D29C3" w:rsidRDefault="009D29C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29C3" w:rsidRDefault="009D29C3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D29C3" w:rsidRDefault="0007683A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br w:type="page"/>
      </w:r>
    </w:p>
    <w:p w:rsidR="009D29C3" w:rsidRDefault="0007683A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4. Género y Derechos Humanos. Intervenciones y corresponsabilidad en los organismos del Estado</w:t>
      </w:r>
    </w:p>
    <w:p w:rsidR="009D29C3" w:rsidRDefault="009D29C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29C3" w:rsidRDefault="0007683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Transversalización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la perspectiva de género. Buenas prácticas de implementación en políticas públicas. Reparación, responsabilidad y corresponsabilidad ante las situaciones de violencia: Herramientas y recursos básicos para la identificación y orientación ante casos de violencia de género en el ámbito de trabajo: información, acompañamiento y derivación.</w:t>
      </w:r>
    </w:p>
    <w:p w:rsidR="009D29C3" w:rsidRDefault="009D29C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29C3" w:rsidRDefault="0007683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Bibliografía de referencia:</w:t>
      </w:r>
    </w:p>
    <w:p w:rsidR="009D29C3" w:rsidRDefault="0007683A">
      <w:pPr>
        <w:numPr>
          <w:ilvl w:val="0"/>
          <w:numId w:val="1"/>
        </w:numPr>
        <w:ind w:left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Crenshaw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K. (2012). Cartografiando los márgenes: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Interseccionalidad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políticas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identitarias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 violencia contra las mujeres de color. En R. Platero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), Intersecciones: Cuerpos y sexualidades en la encrucijada. Barcelona: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Edicions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Bellaterra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D29C3" w:rsidRDefault="0007683A">
      <w:pPr>
        <w:numPr>
          <w:ilvl w:val="0"/>
          <w:numId w:val="1"/>
        </w:numPr>
        <w:ind w:left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Diaz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J. 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Giamberardino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G. (2020) Estrategias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interseccionales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en el acceso a la Salud de las disidencias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sexogenéricas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ConCiencia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Social. Revista digital de Trabajo Social. Vol. 4 (2020) Nro. 7-ISSN 2591-5339 https://revistas.unc.edu.ar/index.php/ConCiencia Social/ </w:t>
      </w:r>
    </w:p>
    <w:p w:rsidR="009D29C3" w:rsidRDefault="0007683A">
      <w:pPr>
        <w:numPr>
          <w:ilvl w:val="0"/>
          <w:numId w:val="1"/>
        </w:numPr>
        <w:ind w:left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Giamberardino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G. (2019)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Existenciarios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trans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en contextos de encierro. 1 ley, 10 mujeres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trans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1000 varones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I Jornadas de Antropología Social del Centro: proyecciones antropológicas en contextos de cambio social / Juan Pablo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Matta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... [et al.]; compilado por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Ludmila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Adad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; Juan Pablo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Matta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- 1a ed. - Tandil: Universidad Nacional del Centro de la Provincia de Buenos Aires, 2019. Libro digital, PD</w:t>
      </w:r>
    </w:p>
    <w:p w:rsidR="009D29C3" w:rsidRDefault="0007683A">
      <w:pPr>
        <w:numPr>
          <w:ilvl w:val="0"/>
          <w:numId w:val="1"/>
        </w:numPr>
        <w:ind w:left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Giamberardino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G (2021) Universidad y Patriarcado. Políticas orientadas a revertir desigualdades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sexogenéricas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en UNICEN. En Cruz, V.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Gianfrini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F. 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Gonzalez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F.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comps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) Universidad pública y praxis feminista, La Plata: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EduLP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D29C3" w:rsidRDefault="0007683A">
      <w:pPr>
        <w:numPr>
          <w:ilvl w:val="0"/>
          <w:numId w:val="1"/>
        </w:numPr>
        <w:ind w:left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Instituto Nacional contra la Discriminación, la Xenofobia y el Racismo - INADI (2016). Diversidad sexual en el ámbito del trabajo: guía informativa para sindicatos. Ciudad Autónoma de Buenos Aires: Instituto Nacional contra la Discriminación, la Xenofobia y el Racismo.</w:t>
      </w:r>
    </w:p>
    <w:p w:rsidR="009D29C3" w:rsidRDefault="0007683A">
      <w:pPr>
        <w:numPr>
          <w:ilvl w:val="0"/>
          <w:numId w:val="1"/>
        </w:numPr>
        <w:ind w:left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hooks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b. (2017) Título: El feminismo es para todo el mundo. Traductoras: Beatriz Esteban Agustí, Lina Tatiana Lozano Ruiz, Mayra Sofía Moreno, Maira Puertas Romo, Sara Vega González, Edición: Traficantes de Sueños.</w:t>
      </w:r>
    </w:p>
    <w:p w:rsidR="009D29C3" w:rsidRDefault="0007683A">
      <w:pPr>
        <w:numPr>
          <w:ilvl w:val="0"/>
          <w:numId w:val="1"/>
        </w:numPr>
        <w:ind w:left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Mansilla, G. (2014): Yo nena, yo princesa: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Luana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la niña que eligió su propio nombre, Los Polvorines: Universidad Nacional de General Sarmiento.</w:t>
      </w:r>
    </w:p>
    <w:p w:rsidR="009D29C3" w:rsidRDefault="0007683A">
      <w:pPr>
        <w:numPr>
          <w:ilvl w:val="0"/>
          <w:numId w:val="1"/>
        </w:numPr>
        <w:ind w:left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Pavan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L. (2016): Niñez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trans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 experiencia de reconocimiento y derecho a la identidad, Los Polvorines: Universidad Nacional de General Belgrano.</w:t>
      </w:r>
    </w:p>
    <w:p w:rsidR="009D29C3" w:rsidRDefault="009D29C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D29C3" w:rsidRDefault="009D29C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D29C3" w:rsidRDefault="0007683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Capacitación dirigida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becaries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 docentes de la Facultad de Ciencias Humanas, siendo prioridad en el caso de les docentes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aquelles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que estén en los ciclos de carrera académica, estén a cargo de direcciones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NACTs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carreras y departamentos, sean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consejeres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docentes, sean docentes o ayudantes del curso de ingreso.</w:t>
      </w:r>
    </w:p>
    <w:p w:rsidR="009D29C3" w:rsidRDefault="009D29C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D29C3" w:rsidRDefault="0007683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Evaluación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La evaluación se sustenta en la pedagogía feminista para reflexionar e incorporar los conceptos claves sugeridos de la capacitación, sobre las teorías feministas y de género, dialogando sobre ellos en espacios de trabajo cotidiano (reuniones, charlas, espacios informales, comentarios, etc.). Se fomenta la Incorporación a nuestro lenguaje, a las miradas desde las cuales analizamos la realidad, de manera que podamos socializar su incorporación y aprehensión. Se realizará un ejercicio de autoevaluación dónde se pueda sensibilizar y concientizar sobre las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aituaciones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violencia de género y discriminación.</w:t>
      </w:r>
    </w:p>
    <w:p w:rsidR="009D29C3" w:rsidRDefault="009D29C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D29C3" w:rsidRDefault="0007683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Modalidad de dictado: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presencial con soporte de aula virtual.</w:t>
      </w:r>
    </w:p>
    <w:p w:rsidR="009D29C3" w:rsidRDefault="009D29C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D29C3" w:rsidRDefault="0007683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Duración de la capacitación</w:t>
      </w:r>
      <w:r>
        <w:rPr>
          <w:rFonts w:ascii="Times New Roman" w:eastAsia="Times New Roman" w:hAnsi="Times New Roman" w:cs="Times New Roman"/>
          <w:sz w:val="24"/>
          <w:szCs w:val="24"/>
        </w:rPr>
        <w:t>: 20 horas.</w:t>
      </w:r>
    </w:p>
    <w:p w:rsidR="009D29C3" w:rsidRDefault="009D29C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D29C3" w:rsidRDefault="0007683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Fechas presenciales establecidas: </w:t>
      </w:r>
      <w:r w:rsidR="00D235B6" w:rsidRPr="00D235B6">
        <w:rPr>
          <w:rFonts w:ascii="Times New Roman" w:eastAsia="Times New Roman" w:hAnsi="Times New Roman" w:cs="Times New Roman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D235B6">
        <w:rPr>
          <w:rFonts w:ascii="Times New Roman" w:eastAsia="Times New Roman" w:hAnsi="Times New Roman" w:cs="Times New Roman"/>
          <w:sz w:val="24"/>
          <w:szCs w:val="24"/>
        </w:rPr>
        <w:t>22</w:t>
      </w:r>
      <w:r>
        <w:rPr>
          <w:rFonts w:ascii="Times New Roman" w:eastAsia="Times New Roman" w:hAnsi="Times New Roman" w:cs="Times New Roman"/>
          <w:sz w:val="24"/>
          <w:szCs w:val="24"/>
        </w:rPr>
        <w:t>, 2</w:t>
      </w:r>
      <w:r w:rsidR="00D235B6">
        <w:rPr>
          <w:rFonts w:ascii="Times New Roman" w:eastAsia="Times New Roman" w:hAnsi="Times New Roman" w:cs="Times New Roman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r w:rsidR="00D235B6">
        <w:rPr>
          <w:rFonts w:ascii="Times New Roman" w:eastAsia="Times New Roman" w:hAnsi="Times New Roman" w:cs="Times New Roman"/>
          <w:sz w:val="24"/>
          <w:szCs w:val="24"/>
        </w:rPr>
        <w:t xml:space="preserve">mayo y 5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ju</w:t>
      </w:r>
      <w:r w:rsidR="00D235B6">
        <w:rPr>
          <w:rFonts w:ascii="Times New Roman" w:eastAsia="Times New Roman" w:hAnsi="Times New Roman" w:cs="Times New Roman"/>
          <w:sz w:val="24"/>
          <w:szCs w:val="24"/>
        </w:rPr>
        <w:t xml:space="preserve">nio 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en horario de 18 a 20hs.</w:t>
      </w:r>
    </w:p>
    <w:p w:rsidR="009D29C3" w:rsidRDefault="009D29C3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D29C3" w:rsidRDefault="009D29C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D29C3" w:rsidRDefault="009D29C3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9D29C3">
      <w:headerReference w:type="default" r:id="rId9"/>
      <w:headerReference w:type="first" r:id="rId10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5594" w:rsidRDefault="00F35594">
      <w:pPr>
        <w:spacing w:line="240" w:lineRule="auto"/>
      </w:pPr>
      <w:r>
        <w:separator/>
      </w:r>
    </w:p>
  </w:endnote>
  <w:endnote w:type="continuationSeparator" w:id="0">
    <w:p w:rsidR="00F35594" w:rsidRDefault="00F355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5594" w:rsidRDefault="00F35594">
      <w:pPr>
        <w:spacing w:line="240" w:lineRule="auto"/>
      </w:pPr>
      <w:r>
        <w:separator/>
      </w:r>
    </w:p>
  </w:footnote>
  <w:footnote w:type="continuationSeparator" w:id="0">
    <w:p w:rsidR="00F35594" w:rsidRDefault="00F355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29C3" w:rsidRDefault="0007683A">
    <w:pPr>
      <w:jc w:val="center"/>
    </w:pPr>
    <w:r>
      <w:rPr>
        <w:noProof/>
      </w:rPr>
      <w:drawing>
        <wp:inline distT="114300" distB="114300" distL="114300" distR="114300">
          <wp:extent cx="1585913" cy="688068"/>
          <wp:effectExtent l="0" t="0" r="0" b="0"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85913" cy="68806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t xml:space="preserve">                                                           </w:t>
    </w:r>
    <w:r>
      <w:rPr>
        <w:noProof/>
      </w:rPr>
      <w:drawing>
        <wp:inline distT="114300" distB="114300" distL="114300" distR="114300">
          <wp:extent cx="1690688" cy="676837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90688" cy="67683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29C3" w:rsidRDefault="0007683A">
    <w:r>
      <w:rPr>
        <w:noProof/>
      </w:rPr>
      <w:drawing>
        <wp:inline distT="114300" distB="114300" distL="114300" distR="114300">
          <wp:extent cx="1471667" cy="642938"/>
          <wp:effectExtent l="0" t="0" r="0" b="0"/>
          <wp:docPr id="3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71667" cy="64293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B264CC"/>
    <w:multiLevelType w:val="multilevel"/>
    <w:tmpl w:val="8368A2A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2210762B"/>
    <w:multiLevelType w:val="multilevel"/>
    <w:tmpl w:val="67BE3F8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576E7078"/>
    <w:multiLevelType w:val="multilevel"/>
    <w:tmpl w:val="FC585F6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nsid w:val="7ADF10CD"/>
    <w:multiLevelType w:val="multilevel"/>
    <w:tmpl w:val="7D104D2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9D29C3"/>
    <w:rsid w:val="0007683A"/>
    <w:rsid w:val="005A6CF2"/>
    <w:rsid w:val="008D42ED"/>
    <w:rsid w:val="009D29C3"/>
    <w:rsid w:val="00A82410"/>
    <w:rsid w:val="00BC0C52"/>
    <w:rsid w:val="00D235B6"/>
    <w:rsid w:val="00F35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s-AR" w:eastAsia="es-A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C0C5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0C5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BC0C52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C0C52"/>
  </w:style>
  <w:style w:type="paragraph" w:styleId="Piedepgina">
    <w:name w:val="footer"/>
    <w:basedOn w:val="Normal"/>
    <w:link w:val="PiedepginaCar"/>
    <w:uiPriority w:val="99"/>
    <w:unhideWhenUsed/>
    <w:rsid w:val="00BC0C52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C0C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s-AR" w:eastAsia="es-A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C0C5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0C5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BC0C52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C0C52"/>
  </w:style>
  <w:style w:type="paragraph" w:styleId="Piedepgina">
    <w:name w:val="footer"/>
    <w:basedOn w:val="Normal"/>
    <w:link w:val="PiedepginaCar"/>
    <w:uiPriority w:val="99"/>
    <w:unhideWhenUsed/>
    <w:rsid w:val="00BC0C52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C0C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22481/rg.v414.7552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1585</Words>
  <Characters>8720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2025-04-21T19:31:00Z</dcterms:created>
  <dcterms:modified xsi:type="dcterms:W3CDTF">2025-04-21T19:31:00Z</dcterms:modified>
</cp:coreProperties>
</file>